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ECTHR_GRAND_CHAMBER 37553/05 vom 15. Oktober 2015</w:t>
      </w:r>
    </w:p>
    <w:p>
      <w:r>
        <w:t>Ecthr Grand Chamber, 2015-10-15, FR</w:t>
      </w:r>
    </w:p>
    <w:p>
      <w:r>
        <w:rPr>
          <w:b/>
        </w:rPr>
        <w:t xml:space="preserve">Quelle: </w:t>
      </w:r>
      <w:r>
        <w:t>https://mcp.opencaselaw.ch/entscheid/ecthr_grand_chamber_37553_05</w:t>
      </w:r>
    </w:p>
    <w:p>
      <w:r>
        <w:t>FR: ECTHR_GRAND_CHAMBER 37553/05 du 15 octobre 2015</w:t>
      </w:r>
    </w:p>
    <w:p>
      <w:r>
        <w:t>IT: ECTHR_GRAND_CHAMBER 37553/05 del 15 ottobre 2015</w:t>
      </w:r>
    </w:p>
    <w:p>
      <w:pPr>
        <w:pStyle w:val="Heading2"/>
      </w:pPr>
      <w:r>
        <w:t>Regeste</w:t>
      </w:r>
    </w:p>
    <w:p>
      <w:r>
        <w:t>Non-violation de l'article 11 - Liberté de réunion et d'association (Article 11-1 - Liberté de réunion pacifique); No violation: 11;11-1</w:t>
      </w:r>
    </w:p>
    <w:p>
      <w:pPr>
        <w:pStyle w:val="Heading2"/>
      </w:pPr>
      <w:r>
        <w:t>Erwägungen</w:t>
      </w:r>
    </w:p>
    <w:p>
      <w:r>
        <w:rPr>
          <w:b/>
        </w:rPr>
        <w:t>E. 2</w:t>
      </w:r>
    </w:p>
    <w:p>
      <w:r>
        <w:t>Arrêt de la chambre 90. La chambre a observé que les requérants avaient été autorisés à exercer leur droit à la liberté de réunion pacifique, mais qu’ils avaient été condamnés pour une infraction liée à leurs actions pendant un rassemblement qui ne s’était accompagné d’aucune violence. Elle y a vu une ingérence dans l’exercice par les intéressés de leurs droits découlant de l’article 11 (paragraphe 67 de l’arrêt de chambre).</w:t>
      </w:r>
    </w:p>
    <w:p>
      <w:r>
        <w:rPr>
          <w:b/>
        </w:rPr>
        <w:t>E. 3</w:t>
      </w:r>
    </w:p>
    <w:p>
      <w:r>
        <w:t>Appréciation de la Grande Chambre a) Sur la question de savoir si l’ingérence poursuivait un but légitime 140. La Cour est d’avis que la condamnation des requérants poursuivait les buts légitimes de la « défense de l’ordre » (voir, mutatis mutandis , Ziliberberg , décision précitée, Galstyan , précité, § 110, Skiba c. Pologne (déc.), n o 10659/03, 7 juillet 2009, Rai et Evans c. Royaume-Uni (déc.), n os 26258/07 et 26255/07, 17 novembre 2009, et Gün et autres , précité, § 59) et de la « protection des droits et libertés d’autrui » (spécialement le droit de circuler sans contrainte sur les voies publiques, voir, mutatis mutandis , Oya Ataman c. Turquie , n o 74552/01, § 32, CEDH 2006-XIV, et Barraco , précité, § 40). 141. Il reste à déterminer si l’ingérence litigieuse était « nécessaire dans une société démocratique » pour atteindre ces buts. b) Sur la question de savoir si l’ingérence était « nécessaire dans une société démocratique » i. Principes se dégageant de la jurisprudence de la Cour α) Principes généraux 142. La liberté de réunion pacifique, l’un des fondements d’une société démocratique, est assortie d’un certain nombre d’exceptions qui appellent une interprétation étroite et le besoin de la restreindre doit se trouver établi de façon convaincante. Lorsqu’ils examinent si les restrictions aux droits et libertés garantis par la Convention peuvent passer pour « nécessaires dans une société démocratique », les États contractants jouissent d’une certaine marge d’appréciation, mais celle-ci n’est pas illimitée ( Barraco , précité, § 42). C’est au demeurant à la Cour de se prononcer de manière définitive sur la compatibilité de la restriction avec la Convention et elle le fait en appréciant les circonstances de la cause ( Osmani et autres c. l’ex-République yougoslave de Macédoine (déc.), n o 50841/99, CEDH 2001-X, et Galstyan , précité, § 114). 143. Lorsqu’elle exerce son contrôle, la Cour n’a point pour tâche de se substituer aux juridictions internes compétentes, mais de vérifier sous l’angle de l’article 11 les décisions qu’elles ont rendues. Il ne s’ensuit pas qu’elle doive se borner à rechercher si l’État défendeur a usé de ce pouvoir de bonne foi, avec soin et de façon raisonnable : il lui faut considérer l’ingérence litigieuse à la lumière de l’ensemble de l’affaire pour déterminer, après avoir établi qu’elle poursuivait un « but légitime », si elle répondait à un « besoin social impérieux » et, en particulier, si elle était proportionnée au but poursuivi et si les motifs invoqués par les autorités nationales pour la justifier apparaissent « pertinents et suffisants » ( Coster c. Royaume-Uni [GC], n o 24876/94, § 104, 18 janvier 2001, Achouguian c. Arménie , n o 33268/03, § 89, 17 juillet 2008, S. et Marper c. Royaume-Uni [GC], n os 30562/04 et 30566/04, § 101, CEDH 2008, Barraco , précité, § 42, et Kasparov et autres , précité, § 86). Ce faisant, la Cour doit se convaincre que les autorités nationales ont appliqué des règles conformes aux principes consacrés par l’article 11 et ce, de surcroît, en se fondant sur une appréciation acceptable des faits pertinents ( Rai and Evans , décision précitée, et Gün et autres , précité, § 75 ; voir également Parti communiste unifié de Turquie et autres c. Turquie , 30 janvier 1998, § 47, Recueil 1998‑I, et Gerger c. Turquie [GC], n o 24919/94, § 46, 8 juillet 1999). 144. La proportionnalité appelle à mettre en balance les impératifs des fins énumérées au paragraphe 2 de l’article 11 avec ceux d’une libre expression par la parole, le geste ou même le silence des opinions de personnes réunies dans la rue ou en d’autres lieux publics ( Osmani et autres , décision précitée, Skiba , décision précitée, Fáber , précité, § 41, et Taranenko , précité, § 65). 145. La liberté de réunion garantie par l’article 11 de la Convention protège aussi les manifestations susceptibles de heurter ou mécontenter des éléments hostiles aux idées ou revendications qu’elles veulent promouvoir ( Stankov et Organisation macédonienne unie Ilinden , précité, § 86). Les mesures entravant la liberté de réunion et d’expression en dehors des cas d’incitation à la violence ou de rejet des principes démocratiques – aussi choquants et inacceptables que puissent sembler certains points de vue ou termes utilisés aux yeux des autorités – desservent la démocratie, voire, souvent, la mettent en péril ( Güneri et autres c. Turquie , n os 42853/98 et 2 autres, § 76, 12 juillet 2005, Sergueï Kouznetsov , § 45, Alekseyev , § 80, Fáber , § 37, Gün et autres , § 70, et Taranenko , § 67, tous précités). 146. La nature et la lourdeur des peines infligées sont aussi des éléments à prendre en considération lorsqu’il s’agit de mesurer la proportionnalité de l’ingérence par rapport au but qu’elle poursuit ( Öztürk c. Turquie [GC], n o 22479/93, § 70, CEDH 1999‑VI, Osmani et autres , décision précitée, et Gün et autres , précité, § 82). Lorsque les sanctions infligées sont de nature pénale, elles appellent une justification particulière ( Rai et Evans , décision précitée). Une manifestation pacifique ne doit pas, en principe, faire l’objet d’une menace de sanction pénale ( Akgöl et Göl c. Turquie , n os 28495/06 et 28516/06, § 43, 17 mai 2011), notamment d’une privation de liberté ( Gün et autres , précité, § 83). Ainsi, la Cour doit examiner avec un soin particulier les affaires où les sanctions infligées par les autorités nationales pour des comportements non violents impliquent une peine d’emprisonnement ( Taranenko , précité, § 87). ß) Exigence d’une autorisation préalable 147. Il n’est en principe pas contraire à l’esprit de l’article 11 que pour des raisons d’ordre public et de sécurité nationale une Haute Partie contractante puisse soumettre à autorisation préalable la tenue de réunions ( Oya Ataman , précité, § 37, Bukta et autres c. Hongrie , n o 25691/04, § 35, CEDH 2007‑III, Balçık et autres c. Turquie , n o 25/02, § 48, 29 novembre 2007, Nurettin Aldemir et autres c. Turquie , n os 32124/02 et 6 autres, § 42, 18 décembre 2007, Éva Molnár , précité, § 35, Karatepe et autres c. Turquie , n os 33112/04 et 4 autres, § 46, 7 avril 2009, Skiba , décision précitée, Çelik c. Turquie (n o 3) , n o 36487/07, § 90, 15 novembre 2012, et Gün et autres , précité, §§ 73 et 80). Du reste, la Cour a considéré dans des affaires antérieures que le fait de subordonner la tenue d’une manifestation publique à une notification, voire à une procédure d’autorisation, ne porte pas atteinte en principe à la substance du droit consacré par l’article 11 de la Convention, pour autant que le but de la procédure est de permettre aux autorités de prendre des mesures raisonnables et adaptées permettant de garantir le bon déroulement des événements de ce type ( Sergeï Kouznetsov , précité, § 42, et Rai et Evans , décision précitée). Les organisateurs de rassemblements publics doivent obéir aux normes régissant ce processus en se conformant aux réglementations en vigueur ( Primov et autres , précité, § 117). 148. La notification préalable vise non seulement la conciliation du droit à la liberté de réunion avec les droits et intérêts juridiquement protégés (dont la liberté de circulation) d’autrui, mais également la défense de l’ordre ou la prévention des infractions pénales. Pour ménager un équilibre entre ces intérêts concurrents, le recours à des procédures administratives préliminaires est une pratique courante dans les États membres en matière d’organisation de manifestations publiques ( Éva Molnár , précité, § 37, et Berladir et autres c. Russie , n o 34202/06, § 42, 10 juillet 2012). Toutefois, les réglementations de cette nature ne doivent pas constituer une entrave dissimulée à la liberté de réunion telle qu’elle est protégée par la Convention ( Samüt Karabulut c. Turquie , n o 16999/04, § 35, 27 janvier 2009, et Berladir et autres , précité, § 39). 149. Les États étant en droit d’exiger une autorisation, ils doivent pouvoir sanctionner ceux qui participent à une manifestation ne satisfaisant pas à cette condition ( Ziliberberg , Rai et Evans , décisions précitées, Berladir et autres , § 41, et Primov et autres , § 118, précités). En même temps, la liberté de participer à une réunion pacifique revêt une telle importance qu’une personne ne peut faire l’objet d’une quelconque sanction – même une sanction se situant vers le bas de l’échelle des peines disciplinaires – pour avoir participé à une manifestation non prohibée, dans la mesure où l’intéressé ne commet par lui-même, à cette occasion, aucun acte répréhensible ( Ezelin , § 53, Galstyan , § 115, et Barraco , § 44, tous précités). Cela vaut également lorsque la manifestation donne lieu à des dommages ou d’autres troubles ( Taranenko , précité, § 88). 150. Une situation illégale, telle que l’organisation d’une manifestation sans autorisation préalable, ne justifie pas nécessairement une ingérence dans l’exercice par une personne de son droit à la liberté de réunion ( Cisse c. France , n o 51346/99, § 50, CEDH 2002‑III, Oya Ataman , précité, § 39, Barraco , précité, § 45, et Skiba , décision précitée). Si les règles régissant les réunions publiques, telles qu’un système de notification préalable, sont essentielles pour le bon déroulement des manifestations publiques, étant donné qu’elles permettent aux autorités de réduire au minimum les perturbations de la circulation et de prendre d’autres mesures de sécurité, leur mise en œuvre ne doit pas devenir une fin en soi ( Primov et autres , précité, § 118). En particulier, en l’absence d’actes de violence de la part des manifestants, il est important que les pouvoirs publics fassent preuve d’une certaine tolérance pour les rassemblements pacifiques, afin que la liberté de réunion garantie par l’article 11 de la Convention ne soit pas vidée de sa substance ( Oya Ataman , § 42, Bukta et autres , § 37, Nurettin Aldemir et autres , § 46, Achouguian , § 90, Éva Molnár , § 36, Barraco , § 43, Berladir et autres , § 38, Fáber , § 47, tous précités, İzci c. Turquie , n o 42606/05, § 89, 23 juillet 2013, et Kasparov et autres , précité, § 91). 151. L’absence d’autorisation préalable et l’« illégalité » consécutive de l’action ne donne pas carte blanche aux autorités, lesquelles demeurent limitées par l’exigence de proportionnalité découlant de l’article 11. Il convient donc d’établir les raisons pour lesquelles la manifestation n’avait pas été autorisée dans un premier temps, l’intérêt général en jeu, et les risques que comportait le rassemblement. La méthode utilisée par la police pour décourager les manifestants, pour les contenir dans un endroit particulier ou pour disperser la manifestation constitue également un élément important pour apprécier la proportionnalité de l’ingérence ( Primov et autres , précité, § 119). Ainsi, l’utilisation par la police de spray au poivre pour disperser une manifestation autorisée a été jugée disproportionnée, même si la Cour a reconnu que l’événement en question pouvait avoir entraîné des perturbations de la circulation routière ( Oya Ataman , précité, §§ 38-44). 152. Dans son arrêt Bukta et autres (précité, §§ 35-36), la Cour a estimé que, dans des circonstances spéciales où il peut se justifier de réagir immédiatement, par exemple à un événement politique, par une manifestation pacifique, disperser celle-ci au seul motif que l’obligation de déclaration préalable n’a pas été respectée et sans que les participants se fussent comportés d’une manière contraire à la loi constituait une restriction disproportionnée à la liberté de réunion pacifique. 153. La Cour a par la suite précisé que le principe établi dans l’affaire Bukta et autres ne pouvait être étendu au point que l’absence de notification préalable ne puisse jamais constituer un fondement légitime à la décision de disperser un rassemblement. Le droit de manifester de manière spontanée ne peut primer l’obligation de notifier au préalable la tenue d’un rassemblement que dans des circonstances spéciales, notamment lorsqu’il est indispensable de réagir immédiatement à un événement par une manifestation. Pareille dérogation à la règle générale peut en particulier se justifier dans le cas où un délai aurait rendu la réaction obsolète ( Éva Molnár , précité, §§ 37-38, et Skiba , décision précitée). 154. En outre, il convient de souligner que même une manifestation légalement autorisée peut être dispersée, par exemple lorsqu’elle tourne à l’émeute ( Primov et autres , précité, § 137). γ) Manifestations et perturbations de la vie quotidienne 155. Toute manifestation dans un lieu public est susceptible d’entraîner des perturbations de la vie quotidienne, notamment de la circulation routière ( Barraco , précité, § 43, Disk et Kesk c. Turquie , n o 38676/08, § 29, 27 novembre 2012, et İzci , précité, § 89). Ce fait en soi ne justifie pas une ingérence dans l’exercice du droit à la liberté de réunion ( Berladir et autres , § 38, et Gün et autres , § 74, précités), car il est important que les pouvoirs publics fassent preuve d’une certaine tolérance en la matière ( Achouguian , précité, § 90). Le « degré de tolérance » approprié ne peut être défini in abstracto : la Cour doit examiner les circonstances particulières de l’affaire, en particulier l’ampleur des « perturbations de la vie quotidienne » ( Primov et autres , précité, § 145). Cela étant, il est important que les associations et autres organisateurs de manifestations se conforment aux règles du jeu démocratique, dont ils sont les acteurs, en respectant les réglementations en vigueur ( Oya Ataman , § 38, Balçık et autres , § 49, Éva Molnár , § 41, Barraco , § 44, précités, et Skiba , décision précitée). 156. Le refus délibéré des organisateurs de se conformer à ces règles et leur décision de structurer tout ou partie d’une manifestation de façon à provoquer des perturbations de la vie quotidienne et d’autres activités à un degré excédant le niveau de désagrément inévitable dans les circonstances constituent un comportement qui ne saurait bénéficier de la même protection privilégiée offerte par la Convention qu’un discours ou débat politique sur des questions d’intérêt général ou que la manifestation pacifique d’opinions sur de telles questions. Au contraire, la Cour estime que les États contractants jouissent d’une ample marge d’appréciation pour évaluer la nécessité de prendre des mesures visant à restreindre pareils comportements (paragraphe 97 ci-dessus ; voir également, mutatis mutandis , Drieman et autres , décision précitée). 157. Les restrictions à la liberté de réunion pacifique dans les lieux publics peuvent servir à la protection des droits d’autrui en vue de prévenir les troubles et les perturbations de la circulation routière ( Éva Molnár , précité, § 34). L’affluence de personnes pendant un événement public comportant des risques, il n’est pas rare que les pouvoirs publics imposent des limites quant au lieu, à la date, à l’heure, à la forme ou aux modalités de la tenue d’un rassemblement public prévu ( Primov et autres , précité, § 130). δ) Obligations positives de l’État au titre de l’article 11 de la Convention 158. Les États doivent non seulement s’abstenir d’apporter des restrictions indirectes abusives au droit de réunion pacifique mais également protéger ce droit. Si l’article 11 tend pour l’essentiel à prémunir l’individu contre des ingérences arbitraires des pouvoirs publics dans l’exercice de ses droits protégés ( Associated Society of Locomotive Engineers and Firemen (ASLEF) c. Royaume-Uni , n o 11002/05, § 37, 27 février 2007, et Nemtsov , précité, § 72), il peut engendrer de surcroît des obligations positives afin d’assurer la jouissance effective de ces droits ( Djavit An , précité, § 57, Oya Ataman , précité, § 36, et Gün et autres , précité, § 72). 159. Les autorités ont le devoir de prendre les mesures nécessaires pour toute manifestation légale afin de garantir le bon déroulement de celle-ci et la sécurité de tous les citoyens ( Oya Ataman , précité, § 35, Makhmoudov c. Russie , n o 35082/04, §§ 63-65, 26 juillet 2007, Skiba , décision précitée, et Gün et autres , précité, § 69). Elles ne sauraient pour autant le garantir de manière absolue et elles jouissent d’un large pouvoir d’appréciation dans le choix de la méthode à utiliser ( Protopapa c. Turquie , n o 16084/90, § 108, 24 février 2009). En la matière, elles assument en vertu de l’article 11 de la Convention une obligation de moyens et non de résultat ( Plattform « Ärzte für das Leben » c. Autriche , 21 juin 1988, § 34, série A n o 139, et Fáber , précité, § 39). 160. En particulier, la Cour a souligné qu’il importait que des mesures de sécurité préventives, telles que l’envoi de secours d’urgence sur les lieux des réunions ou manifestations, soient prises afin de garantir le bon déroulement des événements de ce type, qu’ils soient de nature politique, culturelle ou autre ( Oya Ataman , précité, § 39). ii. Application de ces principes en l’espèce α) Autorisation préalable d’un rassemblement pacifique 161. La Cour observe qu’en l’espèce les agriculteurs ont été autorisés à manifester dans des lieux déterminés. En particulier, en mai 2003, la municipalité de Kalvarija a délivré une autorisation permettant la tenue de rassemblements pacifiques à Kalvarija, « près de la place du marché », du 13 au 16 mai 2003 de 8 à 23 heures, le 17 mai 2003 de 8 à 15 heures et les 19 et 20 mai 2003 de 8 à 23 heures. Des autorisations similaires ont été accordées pour les dates suivantes : du 21 au 23 mai, le 24 mai et du 26 au 30 mai 2003 (paragraphe 15 ci-dessus). Le 8 mai 2003, la municipalité de Pasvalys a délivré une autorisation permettant la tenue d’une manifestation pendant dix jours du 15 au 25 mai 2003 « sur le parking situé à hauteur du kilomètre 63 de la Via Baltica et près de cette autoroute » (paragraphe 16 ci-dessus). Enfin, le 19 mai 2003, la municipalité de Klaipėda a délivré une autorisation permettant la tenue d’un rassemblement du 19 au 25 mai 2003 de 11 à 23 heures dans un « lieu situé dans le village de Divupiai, près de l’autoroute Vilnius-Klaipėda, mais à une distance minimale de vingt-cinq mètres de celle-ci » (paragraphe 17 ci-dessus). 162. Les autorités lituaniennes avaient donc explicitement donné leur accord préalable aux rassemblements (voir, a contrario , les arrêts et décisions précités suivants : Ziliberberg , Oya Ataman , §§ 38-39, Bukta et autres , § 34, Éva Molnár , §§ 40-41, Skiba , Rai et Evans , Gün et autres , § 77, et Primov et autres , §§ 121-128). On ne saurait donc considérer que les manifestations des agriculteurs étaient illégales en raison de l’inobservation de la procédure préalable à la tenue de réunions prévue par le droit interne. 163. Il convient également de relever que, du 19 mai au 21 mai 2003 à midi, les agriculteurs se sont rassemblés dans les lieux prévus et ont pu manifester pacifiquement sans aucune ingérence des autorités (paragraphe 19 ci-dessus). ß) Comportement des requérants et des autres manifestants du 21 au 23 mai 2003 et ses conséquences 164. Toutefois, vers midi le 21 mai 2003, alors que les négociations avec le gouvernement piétinaient, les agriculteurs ont décidé de se rendre depuis les lieux prévus vers les routes à proximité, notamment vers l’autoroute Vilnius-Klaipėda, vers l’autoroute Panevėžys-Pasvalys-Riga et vers l’autoroute Kaunas-Marijampolė-Suvalkai (paragraphe 20 ci-dessus). Selon les indications du Gouvernement, il s’agit des trois principales autoroutes du pays, ce dont les requérants ne disconviennent pas. De plus, entre 15 heures et 16 h 30 le 21 mai 2003, les troisième, quatrième et cinquième requérants ont conduit des tracteurs sur l’autoroute Kaunas-Marijampolė-Suvalkai et les y ont laissés, bloquant ainsi la circulation routière (paragraphe 21 c) ci-dessus). 165. De l’avis de la Cour, le déplacement des manifestations depuis les lieux autorisés vers les autoroutes a constitué une violation flagrante des conditions stipulées dans les autorisations. Cette action a été entreprise sans que les autorités en aient été préalablement averties et sans qu’elles aient été invitées à modifier les modalités des autorisations. Or il n’est pas possible que les requérants n’aient pas eu connaissance de ces exigences. 166. Il n’apparaît pas non plus – bien que ce ne soit pas une considération déterminante dans ce type de situation – que l’action des agriculteurs, qui outrepassait les limites fixées par les autorisations de manifester, ait été justifiée par la nécessité de répondre immédiatement à un événement (voir, en particulier et mutatis mutandis , la jurisprudence citée aux paragraphes 152-153 ci-dessus). La Cour relève que les problèmes dans le secteur agricole et la chute des prix de gros de certains produits agricoles duraient déjà depuis un certain temps et que le mécontentement des agriculteurs ne retombait pas puisque, selon eux, le gouvernement refusait de mettre en œuvre la résolution adoptée par le Parlement le 22 avril 2003 (paragraphe 13 ci-dessus). La situation au cœur du conflit était donc bien connue des requérants et des autorités avant même la délivrance des autorisations permettant la tenue de rassemblements. Rien ne porte à croire qu’un événement politique soudain, appelant une réaction immédiate, se soit produit le 21 mai 2003 ou autour de cette date. 167. Eu égard à ce qui précède, la Cour estime que les barrages routiers non autorisés n’étaient pas justifiés par un événement appelant une réaction immédiate ( Éva Molnár , précité, § 38, et Skiba , décision précitée ; voir également, a contrario et mutatis mutandis , Bukta et autres , précité, § 36, qui concernait une manifestation tenue pour protester spontanément contre la participation du Premier ministre hongrois à une réception organisée par le Premier ministre roumain). 168. Quant à l’affirmation des requérants selon laquelle les barrages routiers constituaient une mesure ultime, prise dans une situation financière difficile pour préserver les intérêts légitimes des intéressés (paragraphes 119-120 ci-dessus), la Cour ne voit aucune raison de remettre en question l’appréciation des tribunaux internes selon laquelle les agriculteurs avaient à leur disposition d’autres moyens légaux de protéger leurs intérêts, par exemple la possibilité de saisir les juridictions administratives (paragraphe 43 ci-dessus). 169. La Cour ne voit par ailleurs aucune raison de douter des conclusions des juridictions nationales selon lesquelles les requérants étaient conscients que le déplacement des manifestations des lieux prévus vers les autoroutes ainsi que le stationnement des tracteurs sur l’autoroute Kaunas-Marijampolė-Suvalkai provoqueraient des perturbations importantes de la circulation routière. Après examen des éléments à leur disposition, les tribunaux internes et la police de Kalvarija et de Pasvalys (paragraphes 28 et 30 ci-dessus) sont parvenus à la conclusion que les barrages routiers avaient occasionné des désagréments majeurs pour la circulation des poids lourds et des voitures de tourisme, avec pour conséquence des embouteillages et de longues files de véhicules. Cette situation a perduré pendant plus de quarante-huit heures, puisque les barrages routiers n’ont été levés que le 23 mai 2003. Or il n’entre pas, normalement, dans les attributions de la Cour de substituer sa propre vision des faits à celle des cours et tribunaux internes, auxquels il appartient en principe de peser les données recueillies par eux (voir, notamment, Edwards c. Royaume-Uni , 16 décembre 1992, § 34, série A n o 247‑B, Vidal c. Belgique , 22 avril 1992, §§ 33-34, série A n o 235‑B, et Klaas c. Allemagne , 22 septembre 1993, § 29, série A n o 269). La Cour n’a été saisie d’aucun élément de nature à remettre en cause les constatations des juridictions nationales ni à étayer l’allégation des requérants devant la Cour, que le Gouvernement conteste, selon laquelle, pendant les jours en question, la circulation des marchandises aurait été « même meilleure que d’habitude » (paragraphes 24 et 121 ci-dessus). 170. Comme la Cour l’a déjà indiqué au paragraphe 97 ci-dessus, les perturbations en cause de la vie quotidienne et de la circulation routière ne s’analysent pas en un effet indirect d’un rassemblement tenu dans un lieu public. Aussi longtemps que les manifestations se sont déroulées dans les lieux prévus, elles n’ont eu aucune incidence sur la circulation routière. La décision des agriculteurs de se rendre sur les autoroutes et d’utiliser des tracteurs ne pouvait que constituer une tentative de bloquer ou de ralentir le passage des véhicules et d’engendrer le chaos en vue d’attirer l’attention sur les besoins des agriculteurs. Les barrages routiers intentionnels ne pouvaient avoir qu’un objectif, celui de faire pression sur le gouvernement pour qu’il accède aux revendications des agriculteurs ; cela est du reste démontré par le fait que ces barrages ont été levés dès que les manifestants ont été informés de l’aboutissement des négociations (paragraphes 22 et 28 ci-dessus). Cet élément permet de distinguer la présente espèce des affaires dans lesquelles la Cour a observé que toute manifestation était susceptible d’entraîner des perturbations de la vie quotidienne, notamment de la circulation routière (voir la jurisprudence citée au paragraphe 155 ci-dessus). 171. La Cour a déjà été appelée à examiner des situations dans lesquelles des manifestants avaient essayé d’empêcher ou de modifier l’exercice d’une activité menée par d’autres personnes. Dans l’affaire Steel et autres (précitée), les premier et deuxième requérants avaient entravé respectivement une partie de chasse et des travaux de construction d’une autoroute. Dans l’affaire Drieman et autres (décision précitée), des militants de Greenpeace avaient manœuvré des canots de manière à faire obstacle à une chasse à la baleine, forçant les chasseurs à abandonner leur exploitation légale des ressources de pêche dans la zone économique exclusive de la Norvège. Dans ces deux affaires, la Cour a estimé que les sanctions infligées (dans l’affaire Steel et autres , quarante-quatre heures de détention provisoire et une peine d’emprisonnement de vingt-huit jours pour les entraves à l’opération de chasse et dix-sept heures de détention provisoire et une peine d’emprisonnement de sept jours pour les protestations contre la construction d’une autoroute ; dans l’affaire Drieman et autres , deux jours de détention provisoire, des amendes convertibles en peines d’emprisonnement en cas de défaut de paiement et la confiscation d’un canot) avaient constitué une réaction proportionnée, notamment au but légitime de la protection des droits et libertés d’autrui. La Cour estime que la même conclusion s’impose a fortiori en l’espèce, où les actions des manifestants ne visaient pas directement une activité qu’ils réprouvaient, mais avaient pour but le blocage physique d’une autre activité (l’utilisation des autoroutes par des transporteurs de marchandises et par des véhicules de tourisme) ne présentant pas de lien direct avec l’objet de leur contestation, c’est-à-dire l’inaction alléguée du gouvernement face à la baisse des prix de certains produits agricoles. 172. À cet égard, le cas d’espèce présente plus de similarités avec l’affaire Lucas (décision précitée), dans laquelle la requérante avait bloqué une voie publique pour protester contre la rétention d’un sous-marin nucléaire, et avec l’affaire Barraco (précitée) qui concernait la participation du requérant à une forme de contestation ayant entraîné un fort ralentissement de la circulation routière. Comme dans les affaires précitées Steel et autres et Drieman et autres , la Cour a estimé que les sanctions infligées aux requérants (quatre heures de détention dans un fourgon de police et une amende de 150 livres sterling dans l’affaire Lucas , et une peine d’emprisonnement de trois mois avec sursis et une amende de 1 500 euros dans l’affaire Barraco ) étaient « nécessaires dans une société démocratique » au sens de l’article 11 § 2 de la Convention. La Cour relève en outre que dans l’affaire Barraco les perturbations de la circulation routière avaient duré seulement cinq heures (contre plus de quarante-huit heures en l’espèce) et avaient concerné une seule autoroute (et non pas trois comme dans la présente affaire). 173. Ainsi qu’il ressort de la jurisprudence citée ci-dessus, lorsque des manifestants perturbent intentionnellement la vie quotidienne et les activités licites d’autrui, ces perturbations, lorsque leur ampleur dépasse celle qu’implique l’exercice normal de la liberté de réunion pacifique, peuvent être considérées comme des « actes répréhensibles » au sens de la jurisprudence de la Cour (paragraphe 149 ci-dessus). Pareil comportement peut donc justifier l’imposition de sanctions, y compris de nature pénale. 174. La Cour estime que même si les requérants ne se sont ni livrés à des actes de violence ni n’ont incité d’autres personnes à commettre de tels actes (voir, a contrario , Osmani et autres , décision précitée, Protopapa , précité, et Primov et autres , précité), le blocage quasi total de trois autoroutes importantes, au mépris flagrant des ordres de la police et des intérêts et droits des usagers de la route, s’analyse en un comportement qui, tout en étant moins grave que le recours à la violence physique, peut être qualifié de « répréhensible ». 175. Dans ce contexte, la Cour ne voit aucune raison de douter que les restrictions litigieuses découlant de la décision des autorités nationales de sanctionner la conduite des requérants étaient justifiées par des motifs pertinents et suffisants. Eu égard à la marge d’appréciation qu’il convient d’accorder à l’État défendeur en pareilles circonstances (paragraphe 156 ci-dessus ; voir également, par comparaison, le large pouvoir discrétionnaire dont jouissent les États contractants en ce qui concerne les actions des syndicats, National Union of Rail, Maritime and Transport Workers c. Royaume-Uni , n o 31045/10, §§ 86-87, CEDH 2014), celui-ci était clairement fondé à considérer que les intérêts de la protection de l’ordre public primaient ceux des requérants à ériger des barrages routiers en vue de permettre aux agriculteurs de sortir de l’impasse dans leurs négociations avec le gouvernement (voir, mutatis mutandis , Primov et autres , précité, § 160). γ) Comportement des autorités pendant les manifestations 176. En ce qui concerne le comportement des autorités, la Cour relève que celles-ci, à la demande des agriculteurs, ont délivré des autorisations permettant la tenue de rassemblements pacifiques dans des lieux précis, et qu’elles ne sont pas intervenues jusqu’à ce que les manifestants quittent les lieux autorisés pour se rendre sur les autoroutes. La police s’est alors contentée d’ordonner aux requérants de lever les barrages et de les avertir que leur responsabilité pourrait éventuellement être mise en jeu (paragraphes 46 et 52 ci-dessus). Même lorsque les requérants ont refusé d’obéir à ces ordres légitimes, la police a choisi de ne pas disperser les rassemblements. Les agriculteurs ont décidé de mettre fin aux manifestations uniquement lorsque leurs revendications ont été satisfaites par le gouvernement (paragraphe 22 ci-dessus). De plus, lorsque des tensions sont apparues entre les agriculteurs et les chauffeurs routiers, la police a engagé les protagonistes à se calmer afin d’éviter des conflits sérieux (paragraphe 28 ci-dessus). Enfin, les autorités ont essayé de dévier la circulation sur des routes secondaires du voisinage en vue de réduire les embouteillages. 177. À la lumière de ce qui précède, la Cour estime que, malgré les troubles graves causés par la conduite des requérants, les autorités ont fait preuve d’une grande tolérance (voir, mutatis mutandis , Éva Molnár , précité, § 43, Barraco , précité, § 47, et Skiba , décision précitée ; voir également, a contrario , Primov et autres , précité). De plus, elles ont cherché à mettre en balance les intérêts des manifestants avec ceux des usagers des autoroutes, afin de garantir le bon déroulement du rassemblement et la sécurité de tous les citoyens ; dès lors, elles ont satisfait à toute obligation positive qui pouvait être mise à leur charge (voir la jurisprudence citée aux paragraphes 158-160 ci-dessus). δ) Sanctions infligées aux requérants 178. Quant aux sanctions infligées aux requérants, la Cour relève que chacun d’entre eux s’est vu imposer une légère peine privative de liberté de soixante jours, assortie d’un sursis de un an. Les requérants n’ont pas eu à verser d’amende, et la seule conséquence pratique de leur condamnation a été l’obligation pour eux, pendant un an, d’obtenir une autorisation s’ils souhaitaient quitter leur lieu de résidence pendant plus de sept jours consécutifs (paragraphe 47 ci-dessus). Une mesure similaire a été appliquée à quatre des requérants avant leur procès, de juillet à octobre 2003 (paragraphe 33 ci-dessus). Pareil désagrément ne semble pas disproportionné au regard des graves troubles à l’ordre public causés par les intéressés (voir, par comparaison, les sanctions appliquées dans les affaires Steel et autres et Lucas , précitées, que la Cour a jugées proportionnées). De plus, les requérants ne soutiennent pas que leurs demandes de quitter leurs lieux de résidence respectifs s’étaient heurtées à des refus ou auraient été systématiquement ignorées par les juridictions nationales. 179. La Grande Chambre n’est pas convaincue que les poursuites pénales engagées contre les requérants aient empêché la mise en balance des intérêts concurrents en jeu (voir, par comparaison, le paragraphe 82 de l’arrêt de la chambre). À cet égard, elle observe que le tribunal de district a pris en compte la personnalité des requérants et leur degré de culpabilité pour parvenir à la conclusion que le but de la sanction pouvait être atteint sans que les intéressés fussent effectivement privés de leur liberté (paragraphe 47 ci-dessus). De plus, le tribunal régional et la Cour suprême ont examiné l’affaire à la lumière, notamment, du droit à la liberté d’expression garanti par la Constitution et par la Convention (paragraphes 53 et 58 ci-dessus). 180. Par ailleurs, la Cour estime qu’il convient de tenir dûment compte de l’ampleur de la marge d’appréciation dont jouit l’État en la matière dans les circonstances particulières de l’espèce. À cet égard, elle observe que les éléments de droit comparé dont elle dispose (paragraphes 78-81 ci-dessus) indiquent qu’il n’existe pas d’approche uniforme au sein des États membres quant à la qualification juridique de l’entrave à la circulation routière sur une autoroute publique, qui est considérée comme une infraction pénale dans certains États et comme une infraction administrative dans d’autres. Dès lors, il convient de laisser aux autorités nationales un pouvoir discrétionnaire large pour qualifier le type de comportement reproché aux requérants. Partant, les autorités nationales n’ont pas dépassé les limites de leur ample marge d’appréciation (paragraphe 156 ci-dessus) en mettant en cause la responsabilité pénale des requérants du fait de leur comportement. 181. La Grande Chambre ne voit aucune raison de s’écarter de l’appréciation des juridictions nationales selon laquelle A.D., un autre agriculteur qui avait entravé la circulation routière, n’était responsable que de l’infraction administrative de violation des règles de la circulation routière (voir, par comparaison, le paragraphe 83 de l’arrêt de la chambre). Quoi qu’il en soit, le fait que d’autres personnes aient été traitées avec plus d’indulgence n’implique pas nécessairement que les sanctions infligées aux requérants étaient disproportionnées. ɛ) Conclusion 182. Eu égard à l’ensemble des considérations ci-dessus, la Cour conclut qu’en condamnant les requérants pour émeute à raison du comportement dont ils ont fait preuve du 21 au 23 mai 2003 pendant les manifestations d’agriculteurs, les autorités lituaniennes ont ménagé un juste équilibre entre les buts légitimes de la « défense de l’ordre » et la « protection des droits et libertés d’autrui », d’une part, et les impératifs de la liberté de réunion, d’autre part. Elles ont fondé leurs décisions sur une appréciation acceptable des faits et sur des motifs pertinents et suffisants. Dès lors, elles n’ont pas outrepassé leur marge d’appréciation en la matière. 183. L’ingérence litigieuse ayant été « nécessaire dans une société démocratique » au sens de l’article 11 de la Convention, il n’y a pas eu violation de cette disposition en l’espèce. 184. Cette conclusion dispense la Cour d’examiner les arguments présentés par les parties, afin qu’elle détermine si les mesures adoptées par les autorités lituaniennes pouvaient se justifier à la lumière de la jurisprudence de la CJCE (paragraphe 125 ci-dessus pour les requérants et paragraphes 134-135 ci-dessus pour le Gouvernement). À cet égard, la Cour se bornera à observer que le rôle de la CJCE dans les affaires précitées a consisté à établir si les États membres concernés de l’Union européenne avaient respecté leur obligation d’assurer la libre circulation des marchandises, alors qu’elle-même a pour tâche en l’espèce de déterminer s’il y a eu atteinte au droit des requérants à la liberté de réunion. II. SUR LA VIOLATION ALLÉGUÉE DE L’ARTICLE 7 DE LA CONVENTION 185. Les requérants allèguent en outre que leur condamnation a emporté violation de l’article 7 de la Convention, ainsi libellé : « 1. Nul ne peut être condamné pour une action ou une omission qui, au moment où elle a été commise, ne constituait pas une infraction d’après le droit national ou international. De même il n’est infligé aucune peine plus forte que celle qui était applicable au moment où l’infraction a été commise. 2. Le présent article ne portera pas atteinte au jugement et à la punition d’une personne coupable d’une action ou d’une omission qui, au moment où elle a été commise, était criminelle d’après les principes généraux de droit reconnus par les nations civilisées. » 186. Le Gouvernement conteste cette allégation. A. Observations des parties 1. Les requérants 187. Devant la chambre, les requérants ont soutenu que l’article 283 § 1 du code pénal, sur le fondement duquel ils ont été condamnés, n’était pas formulé clairement et n’avait pas été correctement interprété par les juridictions nationales (voir également les arguments développés par les requérants sous l’angle de l’article 11 de la Convention – paragraphe 103 ci-dessus). 2. Le Gouvernement 188. Le Gouvernement arguë que l’article 283 § 1 du code pénal, entré en vigueur le 1 er mai 2003, est un texte accessible à tous les citoyens. Il estime que la notion d’« atteinte grave à l’ordre public » figurant dans cette disposition ne saurait passer pour manquer de clarté ou de précision, considérant qu’il est selon lui légitime que les lois mentionnent des catégories générales plutôt que d’établir des listes exhaustives. Il ajoute que dans sa décision du 4 octobre 2005 (paragraphes 56-59 ci-dessus) la Cour suprême décrit la substance de l’infraction d’émeute. 189. Le Gouvernement est d’avis qu’en condamnant les requérants, les juridictions internes ne sont en aucun cas allées au-delà d’une interprétation raisonnable de la définition de l’infraction. Il estime que le comportement des requérants aurait pu causer des dommages sérieux et porter préjudice aux biens, à la santé, voire à la vie d’autrui et que ces dommages plus sérieux ont été évités grâce à l’adoption par les services de police de mesures préventives et à la mise en place par ceux-ci d’itinéraires de contournement. 190. Le Gouvernement maintient que la responsabilité des requérants pour émeute était également prévisible. Il déclare que la même infraction était également passible de sanctions en vertu de l’« ancien » code pénal de 1961, en vigueur jusqu’au 30 avril 2003. Il ajoute que les organisateurs de la manifestation (A.K. et B.M.) avaient été officiellement informés par écrit du libellé de l’article 283 du code pénal (paragraphes 15 et 17 ci-dessus), et qu’ils pouvaient donc prévoir qu’ils étaient passibles de poursuites s’ils bloquaient des routes. Il considère qu’en tant que personnes assumant une responsabilité spéciale concernant les manifestations, les deux requérants auraient pu également solliciter les conseils d’experts juridiques. 191. Le Gouvernement reconnaît que l’affaire des requérants est apparemment la première dans laquelle la disposition sur l’émeute a été appliquée, mais estime que l’absence, pour des raisons objectives (rareté de l’infraction), de jurisprudence nationale n’emporte pas automatiquement violation de l’article 7 de la Convention. Il indique que d’autres personnes ont été ultérieurement condamnées pour émeute pour des faits survenus en 2009 (décision de la Cour suprême du 4 décembre 2012 dans l’affaire pénale n o 2K-552/2012). B. Arrêt de chambre 192. Eu égard à ses conclusions sur le terrain de l’article 11 de la Convention, la chambre a considéré avoir déjà traité la principale question juridique soulevée en l’espèce et a donc jugé qu’il n’y avait pas lieu de se livrer à un examen séparé du grief sous l’angle de l’article 7 (paragraphe 87 de l’arrêt de chambre). C. Appréciation de la Grande Chambre 193. La Cour réitère que l’ingérence dans l’exercice par les requérants de leur droit à la liberté de réunion pacifique était « prévue par la loi » au sens de l’article 11 § 2 de la Convention et, notamment, qu’elle était prévisible pour les requérants (paragraphes 111-118 ci-dessus). Elle rappelle également que la notion de « droit » (« law ») utilisée à l’article 7 correspond à celle de « loi » qui figure dans d’autres articles de la Convention ; elle englobe le droit d’origine tant législative que jurisprudentielle et implique des conditions qualitatives, entre autres celles d’accessibilité et de prévisibilité (voir le rappel des principes pertinents figurant dans l’arrêt Rohlena c. République tchèque ([GC], n o 59552/08, § 50, CEDH 2015)). La Cour relève en outre que, dans leurs observations à la Grande Chambre, les requérants n’ont pas expressément repris le grief qu’ils avaient soulevé devant la chambre sous l’angle de l’article 7 de la Convention. Dès lors, elle estime qu’il n’y a pas lieu d’examiner séparément s’il y a eu, en l’espèce, violation de cette disposition.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