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6130/09 vom 5. April 2011</w:t>
      </w:r>
    </w:p>
    <w:p>
      <w:r>
        <w:t>Ecthr Committee, 2011-04-05, FR</w:t>
      </w:r>
    </w:p>
    <w:p>
      <w:r>
        <w:rPr>
          <w:b/>
        </w:rPr>
        <w:t xml:space="preserve">Quelle: </w:t>
      </w:r>
      <w:r>
        <w:t>https://mcp.opencaselaw.ch/entscheid/ecthr_committee_6130_09</w:t>
      </w:r>
    </w:p>
    <w:p>
      <w:r>
        <w:t>FR: ECTHR_COMMITTEE 6130/09 du 5 avril 2011</w:t>
      </w:r>
    </w:p>
    <w:p>
      <w:r>
        <w:t>IT: ECTHR_COMMITTEE 6130/09 del 5 aprile 2011</w:t>
      </w:r>
    </w:p>
    <w:p>
      <w:pPr>
        <w:pStyle w:val="Heading2"/>
      </w:pPr>
      <w:r>
        <w:t>Regeste</w:t>
      </w:r>
    </w:p>
    <w:p>
      <w:r>
        <w:t>Violation de l'art. 6-1;Violation de l'art. 13; Violation: 6;6-1;13</w:t>
      </w:r>
    </w:p>
    <w:p>
      <w:pPr>
        <w:pStyle w:val="Heading2"/>
      </w:pPr>
      <w:r>
        <w:t>Erwägungen</w:t>
      </w:r>
    </w:p>
    <w:p>
      <w:r>
        <w:rPr>
          <w:b/>
        </w:rPr>
        <w:t>E. 13</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14</w:t>
      </w:r>
    </w:p>
    <w:p>
      <w:r>
        <w:t>Le Gouvernement s’oppose à cette thèse.</w:t>
      </w:r>
    </w:p>
    <w:p>
      <w:r>
        <w:rPr>
          <w:b/>
        </w:rPr>
        <w:t>E. 15</w:t>
      </w:r>
    </w:p>
    <w:p>
      <w:r>
        <w:t>La période à considérer a débuté le 29 octobre 1987, avec la saisine du tribunal de grande instance d’Athènes par les requérants et s’est terminée le 29 octobre 2009, avec l’arrêt n o 6130/2009 de la cour d’appel d’Athènes statuant sur renvoi. Elle a donc duré vingt-deux ans pour six instances. A. Sur la recevabilité</w:t>
      </w:r>
    </w:p>
    <w:p>
      <w:r>
        <w:rPr>
          <w:b/>
        </w:rPr>
        <w:t>E. 16</w:t>
      </w:r>
    </w:p>
    <w:p>
      <w:r>
        <w:t>La Cour constate que ce grief n’est pas manifestement mal fondé au sens de l’article 35 § 3 de la Convention. Elle relève en outre qu’il ne se heurte à aucun autre motif d’irrecevabilité. Il convient donc de le déclarer recevable. B. Sur le fond</w:t>
      </w:r>
    </w:p>
    <w:p>
      <w:r>
        <w:rPr>
          <w:b/>
        </w:rPr>
        <w:t>E. 17</w:t>
      </w:r>
    </w:p>
    <w:p>
      <w:r>
        <w:t>La Cour rappelle que le caractère raisonnable de la durée d’une procédure s’apprécie suivant les circonstances de la cause et eu égard aux critères consacrés par sa jurisprudence, en particulier la complexité de l’affaire, le comportement des requérants et celui des autorités compétentes ainsi que l’enjeu du litige pour les intéressés (voir, parmi beaucoup d’autres, Frydlender c. France [GC], n o 30979/96, § 43, CEDH 2000-VII</w:t>
      </w:r>
    </w:p>
    <w:p>
      <w:r>
        <w:rPr>
          <w:b/>
        </w:rPr>
        <w:t>E. 18</w:t>
      </w:r>
    </w:p>
    <w:p>
      <w:r>
        <w:t>La Cour a traité à maintes reprises d’affaires soulevant des questions semblables à celle du cas d’espèce et a constaté la violation de l’article 6 § 1 de la Convention (voir Frydlender précité).</w:t>
      </w:r>
    </w:p>
    <w:p>
      <w:r>
        <w:rPr>
          <w:b/>
        </w:rPr>
        <w:t>E. 19</w:t>
      </w:r>
    </w:p>
    <w:p>
      <w:r>
        <w:t>En l’espèce, la Cour note que la procédure devant le tribunal de grande instance d’Athènes a duré dix ans environ, soit du 29 octobre 1987 au 30 novembre 1997. La procédure relative au deuxième pourvoi en cassation a duré quatre ans environ, soit du 24 août 2004 au 27 juin 2008. Sur une période totale de vingt-deux ans, il a donc fallu quatorze ans pour seulement deux instances pour une affaire portant sur l’annulation d’un contrat de vente d’un immeuble. Le Gouvernement ne fournit aucune explication pertinente pour ces délais.</w:t>
      </w:r>
    </w:p>
    <w:p>
      <w:r>
        <w:rPr>
          <w:b/>
        </w:rPr>
        <w:t>E. 20</w:t>
      </w:r>
    </w:p>
    <w:p>
      <w:r>
        <w:t>Compte tenu de sa jurisprudence en la matière, la Cour estime qu’en l’espèce la durée de la procédure litigieuse est excessive et ne répond pas à l’exigence du « délai raisonnable ». Partant, il y a eu violation de l’article 6 § 1. II. SUR LA VIOLATION ALLÉGUÉE DE L’ARTICLE 13 DE LA CONVENTION</w:t>
      </w:r>
    </w:p>
    <w:p>
      <w:r>
        <w:rPr>
          <w:b/>
        </w:rPr>
        <w:t>E. 21</w:t>
      </w:r>
    </w:p>
    <w:p>
      <w:r>
        <w:t>Les requérants se plaignent également du fait qu’en Grèce il n’existe aucune juridiction à laquelle l’on puisse s’adresser pour se plaindre de la durée excessive de la procédure. Ils invoquent l’article 13 de la Convention.</w:t>
      </w:r>
    </w:p>
    <w:p>
      <w:r>
        <w:rPr>
          <w:b/>
        </w:rPr>
        <w:t>E. 22</w:t>
      </w:r>
    </w:p>
    <w:p>
      <w:r>
        <w:t>La Cour relève que ce grief est lié à celui examiné ci-dessus et doit donc aussi être déclaré recevable.</w:t>
      </w:r>
    </w:p>
    <w:p>
      <w:r>
        <w:rPr>
          <w:b/>
        </w:rPr>
        <w:t>E. 23</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2000-XI).</w:t>
      </w:r>
    </w:p>
    <w:p>
      <w:r>
        <w:rPr>
          <w:b/>
        </w:rPr>
        <w:t>E. 24</w:t>
      </w:r>
    </w:p>
    <w:p>
      <w:r>
        <w:t>Par ailleurs, la Cour a déjà eu l’occasion de constater que l’ordre juridique hellénique n’offre pas aux intéressés un recours effectif au sens de l’article 13 de la Convention leur permettant de se plaindre de la durée d’une procédure ( Konti-Arvaniti c. Grèce , n o 53401/99, §§ 29-30, 10 avril 2003, Tsoukalas c. Grèce , n o 12286/08, §§ 37-43, 22 juillet 2010). La Cour n’aperçoit aucune raison de s’écarter de cette jurisprudence en l’espèce.</w:t>
      </w:r>
    </w:p>
    <w:p>
      <w:r>
        <w:rPr>
          <w:b/>
        </w:rPr>
        <w:t>E. 25</w:t>
      </w:r>
    </w:p>
    <w:p>
      <w:r>
        <w:t>Dès lors, la Cour estime qu’en l’espèce, il y a eu violation de l’article 13 de la Convention en raison de l’absence en droit interne d’un recours qui aurait permis aux requérants d’obtenir la sanction de leur droit à voir leur cause entendue dans un délai raisonnable, au sens de l’article 6 § 1 de la Convention. III. SUR L’APPLICATION DE L’ARTICLE 41 DE LA CONVENTION</w:t>
      </w:r>
    </w:p>
    <w:p>
      <w:r>
        <w:rPr>
          <w:b/>
        </w:rPr>
        <w:t>E. 26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27</w:t>
      </w:r>
    </w:p>
    <w:p>
      <w:r>
        <w:t>Les requérants réclament 15 000 euros (EUR) chacun au titre du préjudice moral qu’ils auraient subi.</w:t>
      </w:r>
    </w:p>
    <w:p>
      <w:r>
        <w:rPr>
          <w:b/>
        </w:rPr>
        <w:t>E. 28</w:t>
      </w:r>
    </w:p>
    <w:p>
      <w:r>
        <w:t>Le Gouvernement conteste ces prétentions.</w:t>
      </w:r>
    </w:p>
    <w:p>
      <w:r>
        <w:rPr>
          <w:b/>
        </w:rPr>
        <w:t>E. 29</w:t>
      </w:r>
    </w:p>
    <w:p>
      <w:r>
        <w:t>La Cour estime qu’il y a lieu d’octroyer conjointement aux requérants 24 000 EUR au titre du préjudice moral, plus tout montant pouvant être dû par eux à titre d’impôt. B. Frais et dépens</w:t>
      </w:r>
    </w:p>
    <w:p>
      <w:r>
        <w:rPr>
          <w:b/>
        </w:rPr>
        <w:t>E. 30</w:t>
      </w:r>
    </w:p>
    <w:p>
      <w:r>
        <w:t>Les requérants n’ont présenté aucune demande au titre des frais et dépens. Partant, la Cour estime qu’il n’y a pas lieu de leur octroyer de somme à ce titre. C. Intérêts moratoires</w:t>
      </w:r>
    </w:p>
    <w:p>
      <w:r>
        <w:rPr>
          <w:b/>
        </w:rPr>
        <w:t>E. 31</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