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51923/12 vom 18. Februar 2016</w:t>
      </w:r>
    </w:p>
    <w:p>
      <w:r>
        <w:t>Ecthr Committee, 2016-02-18, FR</w:t>
      </w:r>
    </w:p>
    <w:p>
      <w:r>
        <w:rPr>
          <w:b/>
        </w:rPr>
        <w:t xml:space="preserve">Quelle: </w:t>
      </w:r>
      <w:r>
        <w:t>https://mcp.opencaselaw.ch/entscheid/ecthr_committee_51923_12</w:t>
      </w:r>
    </w:p>
    <w:p>
      <w:r>
        <w:t>FR: ECTHR_COMMITTEE 51923/12 du 18 février 2016</w:t>
      </w:r>
    </w:p>
    <w:p>
      <w:r>
        <w:t>IT: ECTHR_COMMITTEE 51923/12 del 18 febbraio 2016</w:t>
      </w:r>
    </w:p>
    <w:p>
      <w:pPr>
        <w:pStyle w:val="Heading2"/>
      </w:pPr>
      <w:r>
        <w:t>Regeste</w:t>
      </w:r>
    </w:p>
    <w:p>
      <w:r>
        <w:t>Violation de l'article 6 - Droit à un procès équitable (Article 6 - Procédure civile;Article 6-1 - Délai raisonnable);Violation de l'article 13 - Droit à un recours effectif (Article 13 - Recours effectif); Violation: 6;6-1;13</w:t>
      </w:r>
    </w:p>
    <w:p>
      <w:pPr>
        <w:pStyle w:val="Heading2"/>
      </w:pPr>
      <w:r>
        <w:t>Erwägungen</w:t>
      </w:r>
    </w:p>
    <w:p>
      <w:r>
        <w:rPr>
          <w:b/>
        </w:rPr>
        <w:t>E. 16</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Sur la recevabilité</w:t>
      </w:r>
    </w:p>
    <w:p>
      <w:r>
        <w:rPr>
          <w:b/>
        </w:rPr>
        <w:t>E. 17</w:t>
      </w:r>
    </w:p>
    <w:p>
      <w:r>
        <w:t>La Cour constate que ce grief n’est pas manifestement mal fondé au sens de l’article 35 § 3 a) de la Convention. Elle relève par ailleurs que celui ‑ ci ne se heurte à aucun autre motif d’irrecevabilité. Il convient donc de le déclarer recevable. B. Sur le fond 1. Période à prendre en considération</w:t>
      </w:r>
    </w:p>
    <w:p>
      <w:r>
        <w:rPr>
          <w:b/>
        </w:rPr>
        <w:t>E. 18</w:t>
      </w:r>
    </w:p>
    <w:p>
      <w:r>
        <w:t>La période à considérer a débuté le 25 mai 2001 avec la saisine du tribunal administratif de première instance d’Athènes et a pris fin le 4 avril 2012, date à laquelle l’arrêt n o 0917/2012 de la formation plénière de la Cour des comptes a été publié. Elle a donc duré onze ans environ pour trois instances. 2. Durée raisonnable de la procédure</w:t>
      </w:r>
    </w:p>
    <w:p>
      <w:r>
        <w:rPr>
          <w:b/>
        </w:rPr>
        <w:t>E. 19</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Mavredaki c. Grèce, n o 10966/10 ,</w:t>
      </w:r>
    </w:p>
    <w:p>
      <w:r>
        <w:rPr>
          <w:b/>
        </w:rPr>
        <w:t>E. 24</w:t>
      </w:r>
    </w:p>
    <w:p>
      <w:r>
        <w:t>La Cour constate que ce grief n’est pas manifestement mal fondé au sens de l’article 35 § 3 a) de la Convention. Elle relève par ailleurs que celui-ci ne se heurte à aucun autre motif d’irrecevabilité. Il convient donc de le déclarer recevable. B. Sur le fond</w:t>
      </w:r>
    </w:p>
    <w:p>
      <w:r>
        <w:rPr>
          <w:b/>
        </w:rPr>
        <w:t>E. 25</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26</w:t>
      </w:r>
    </w:p>
    <w:p>
      <w:r>
        <w:t>Par ailleurs, la Cour a déjà eu l’occasion de constater que l’ordre juridique hellénique n’offrait pas aux intéressés un recours effectif au sens de l’article 13 de la Convention leur permettant de se plaindre de la durée d’une procédure (voir Vassilios Athanasiou et autres c. Grèce , n o 50973/08, § 34, 21 décembre 2010, et Glykantzi c. Grèce , n o 40150/09, § 54, 30 octobre 2012 et les références qui s’y trouvent citées).</w:t>
      </w:r>
    </w:p>
    <w:p>
      <w:r>
        <w:rPr>
          <w:b/>
        </w:rPr>
        <w:t>E. 27</w:t>
      </w:r>
    </w:p>
    <w:p>
      <w:r>
        <w:t>La Cour note que le 20 février 2014 est entrée en vigueur la loi n o 4239/2014, portant sur la satisfaction équitable au titre du dépassement du délai raisonnable d’une procédure devant les juridictions pénales, civiles et la Cour des comptes. En vertu de la loi précitée, un nouveau recours a été établi permettant aux intéressés de se plaindre de la durée de chaque instance d’une procédure devant la Cour des comptes dans un délai de six mois à partir de la date de publication de la décision y relative (voir paragraphe 15 ci-dessus). Cependant, la Cour observe que cette loi n’a pas d’effet rétroactif. Par conséquent, elle ne prévoit pas un tel recours pour les affaires terminées six mois avant son entrée en vigueur.</w:t>
      </w:r>
    </w:p>
    <w:p>
      <w:r>
        <w:rPr>
          <w:b/>
        </w:rPr>
        <w:t>E. 28</w:t>
      </w:r>
    </w:p>
    <w:p>
      <w:r>
        <w:t>En l’espèce, l’arrêt n o 0917/2012 de la formation plénière de la Cour des comptes a été publié le 4 avril 2012, à savoir plus de six mois avant l’entrée en vigueur de la loi n o 4239/2014. Il s’ensuit que la requérante ne pouvait pas exercer ledit recours. Dès lors, la Cour estime qu’il y a violation de l’article 13 de la Convention en raison, à l’époque des faits, de l’absence en droit interne d’un recours qui aurait permis à la requérante d’obtenir la sanction de son droit à voir sa cause entendue dans un délai raisonnable, au sens de l’article 6 § 1 de la Convention. III. SUR L’APPLICATION DE L’ARTICLE 41 DE LA CONVENTION</w:t>
      </w:r>
    </w:p>
    <w:p>
      <w:r>
        <w:rPr>
          <w:b/>
        </w:rPr>
        <w:t>E. 29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30</w:t>
      </w:r>
    </w:p>
    <w:p>
      <w:r>
        <w:t>La requérante réclame 7 500 euros (EUR) au titre du préjudice matériel et moral qu’elle aurait subis. Elle réclame également 1 200 euros (EUR) ou alternativement 800 euros (EUR) pour frais et dépens devant la Cour et soumet l’accord conclu avec son conseil, concernant ses honoraires.</w:t>
      </w:r>
    </w:p>
    <w:p>
      <w:r>
        <w:rPr>
          <w:b/>
        </w:rPr>
        <w:t>E. 31</w:t>
      </w:r>
    </w:p>
    <w:p>
      <w:r>
        <w:t>Le Gouvernement n’a pas pris position à cet égard.</w:t>
      </w:r>
    </w:p>
    <w:p>
      <w:r>
        <w:rPr>
          <w:b/>
        </w:rPr>
        <w:t>E. 32</w:t>
      </w:r>
    </w:p>
    <w:p>
      <w:r>
        <w:t>La Cour n’aperçoit pas de lien de causalité entre la violation constatée et le dommage matériel allégué et rejette cette demande. En revanche, elle estime qu’il y a lieu d’octroyer à la requérante 4 500 EUR au titre du préjudice moral.</w:t>
      </w:r>
    </w:p>
    <w:p>
      <w:r>
        <w:rPr>
          <w:b/>
        </w:rPr>
        <w:t>E. 33</w:t>
      </w:r>
    </w:p>
    <w:p>
      <w:r>
        <w:t>S’agissant de la demande pour frais et dépens, la Cour note que selon sa jurisprudence constante, l’allocation de frais et dépens au titre de l’article 41 présuppose que se trouvent établis leur réalité, leur nécessité et, de plus, le caractère raisonnable de leur taux ( Iatridis c. Grèce (satisfaction équitable) [GC], n o 31107/96, § 54, CEDH 2000-XI). Compte tenu des documents dont elle dispose et de sa jurisprudence, la Cour estime raisonnable d’accorder à la requérante la somme de 350 EUR à ce titre.</w:t>
      </w:r>
    </w:p>
    <w:p>
      <w:r>
        <w:rPr>
          <w:b/>
        </w:rPr>
        <w:t>E. 34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