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43545/09 vom 23. September 2014</w:t>
      </w:r>
    </w:p>
    <w:p>
      <w:r>
        <w:t>Ecthr Committee, 2014-09-23, FR</w:t>
      </w:r>
    </w:p>
    <w:p>
      <w:r>
        <w:rPr>
          <w:b/>
        </w:rPr>
        <w:t xml:space="preserve">Quelle: </w:t>
      </w:r>
      <w:r>
        <w:t>https://mcp.opencaselaw.ch/entscheid/ecthr_committee_43545_09</w:t>
      </w:r>
    </w:p>
    <w:p>
      <w:r>
        <w:t>FR: ECTHR_COMMITTEE 43545/09 du 23 septembre 2014</w:t>
      </w:r>
    </w:p>
    <w:p>
      <w:r>
        <w:t>IT: ECTHR_COMMITTEE 43545/09 del 23 settembre 2014</w:t>
      </w:r>
    </w:p>
    <w:p>
      <w:pPr>
        <w:pStyle w:val="Heading2"/>
      </w:pPr>
      <w:r>
        <w:t>Regeste</w:t>
      </w:r>
    </w:p>
    <w:p>
      <w:r>
        <w:t>Violation de l'article 1 du Protocole n° 1 - Protection de la propriété (article 1 al. 1 du Protocole n° 1 - Respect des biens); Violation: P1-1;P1-1-1</w:t>
      </w:r>
    </w:p>
    <w:p>
      <w:pPr>
        <w:pStyle w:val="Heading2"/>
      </w:pPr>
      <w:r>
        <w:t>Erwägungen</w:t>
      </w:r>
    </w:p>
    <w:p>
      <w:r>
        <w:rPr>
          <w:b/>
        </w:rPr>
        <w:t>E. 1</w:t>
      </w:r>
    </w:p>
    <w:p>
      <w:r>
        <w:t>à la Convention. II. SUR LA VIOLATION ALLÉGUÉE DE L’ARTICLE 6 § 1 DE LA CONVENTION 40. Selon le requérant, la durée de la procédure devant les tribunaux administratifs n’a pas répondu à l’exigence du « délai raisonnable » tel que prévu par l’article 6 § 1 de la Convention. 41. La Cour considère, à la lumière des critères dégagés par la jurisprudence des organes de la Convention en matière de « délai raisonnable » (complexité de l’affaire et comportement des requérants et des autorités compétentes), et compte tenu de l’ensemble des éléments dont elle dispose, que ce grief est manifestement mal fondé au sens de l’article 35 §</w:t>
      </w:r>
    </w:p>
    <w:p>
      <w:r>
        <w:rPr>
          <w:b/>
        </w:rPr>
        <w:t>E. 3</w:t>
      </w:r>
    </w:p>
    <w:p>
      <w:r>
        <w:t>a) de la Convention et qu’il doit être rejeté, en application de l’article 35 §</w:t>
      </w:r>
    </w:p>
    <w:p>
      <w:r>
        <w:rPr>
          <w:b/>
        </w:rPr>
        <w:t>E. 4</w:t>
      </w:r>
    </w:p>
    <w:p>
      <w:r>
        <w:t>de la Convention. III. SUR L’APPLICATION DE L’ARTICLE 41 DE LA CONVENTION 42.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43. Le requérant sollicite 265 000 euros (EUR) pour dommage matériel et moral. Il fournit un rapport d’évaluation émanant d’une société privée. 44. Le Gouvernement invite la Cour à rejeter les prétentions du requérant, qu’il juge excessives et dépourvues de fondement. 45. La Cour tient à rappeler son mode de calcul dans des affaires similaires (voir notamment Hakan Arı , précité, § 57). Elle prend en considération le fait que le terrain du requérant est indisponible depuis 1982. Le point de départ du raisonnement est la valeur probable du terrain à cette même date, à savoir donc 1982. Une fois la valeur du terrain déterminée, la Cour considère que, en l’absence d’autres éléments, le préjudice découlant de l’indisponibilité du terrain pendant la période considérée doit être compensé par le versement d’une somme correspondant à l’intérêt légal appliqué pour toute cette période à la contre-valeur du terrain ainsi définie ( Hakan Arı, précité , § 57, Rossitto , précité, § 64, Terazzi S.r.l. c. Italie (satisfaction équitable), n o 27265/95, § 37, 26 octobre 2004, et Elia S.r.l. c. Italie (satisfaction équitable), n o 37710/97, § 25, 22 juillet 2004). Cela étant dit, la Cour n’a pas en sa possession des éléments pouvant déterminer la valeur du terrain en 1982. En l’absence de ceux-ci, elle estime que la question de l’application de l’article 41 ne se trouve pas en état pour ce qui est du dommage matériel, de sorte qu’il convient de la réserver en tenant compte de l’éventualité d’un accord entre l’État défendeur et le requérant. 46. S’agissant en revanche du dommage moral, la Cour considère compte tenu des circonstances de la cause que la violation de la Convention a porté au requérant un tort moral résultant de l’incertitude de la situation litigieuse. Dès lors, statuant en équité, la Cour décide d’allouer au requérant 10 000 EUR de ce chef. 47. Pour ce qui est de la demande des frais et dépens, le requérant ne la chiffre pas et ne la ventile pas par rubrique. Dans ces circonstances, la Cour estime qu’aucune somme ne doit être versée de ce chef au requérant. 48.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