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41264/02 vom 25. September 2012</w:t>
      </w:r>
    </w:p>
    <w:p>
      <w:r>
        <w:t>Ecthr Committee, 2012-09-25, FR</w:t>
      </w:r>
    </w:p>
    <w:p>
      <w:r>
        <w:rPr>
          <w:b/>
        </w:rPr>
        <w:t xml:space="preserve">Quelle: </w:t>
      </w:r>
      <w:r>
        <w:t>https://mcp.opencaselaw.ch/entscheid/ecthr_committee_41264_02</w:t>
      </w:r>
    </w:p>
    <w:p>
      <w:r>
        <w:t>FR: ECTHR_COMMITTEE 41264/02 du 25 septembre 2012</w:t>
      </w:r>
    </w:p>
    <w:p>
      <w:r>
        <w:t>IT: ECTHR_COMMITTEE 41264/02 del 25 settembre 2012</w:t>
      </w:r>
    </w:p>
    <w:p>
      <w:pPr>
        <w:pStyle w:val="Heading2"/>
      </w:pPr>
      <w:r>
        <w:t>Regeste</w:t>
      </w:r>
    </w:p>
    <w:p>
      <w:r>
        <w:t>Violation de l'article 6 - Droit à un procès équitable (Article 6 - Procédure civile;Article 6-1 - Délai raisonnable); Violation: 6;6-1</w:t>
      </w:r>
    </w:p>
    <w:p>
      <w:pPr>
        <w:pStyle w:val="Heading2"/>
      </w:pPr>
      <w:r>
        <w:t>Erwägungen</w:t>
      </w:r>
    </w:p>
    <w:p>
      <w:r>
        <w:rPr>
          <w:b/>
        </w:rPr>
        <w:t>E. 29</w:t>
      </w:r>
    </w:p>
    <w:p>
      <w:r>
        <w:t>Invoquant l’article 6 § 1 de la Convention, les requérants se plaignent de la durée de la procédure principale et de l’insuffisance de l’indemnisation « Pinto », ainsi que du retard dans le paiement de cette dernière.</w:t>
      </w:r>
    </w:p>
    <w:p>
      <w:r>
        <w:rPr>
          <w:b/>
        </w:rPr>
        <w:t>E. 30</w:t>
      </w:r>
    </w:p>
    <w:p>
      <w:r>
        <w:t>Le Gouvernement s’oppose à cette thèse.</w:t>
      </w:r>
    </w:p>
    <w:p>
      <w:r>
        <w:rPr>
          <w:b/>
        </w:rPr>
        <w:t>E. 31</w:t>
      </w:r>
    </w:p>
    <w:p>
      <w:r>
        <w:t>L’article 6 § 1 de la Convention est ainsi libellé dans ses parties pertinentes : Article 6 § 1 « Toute personne a droit à ce que sa cause soit entendue (...) dans un délai raisonnable, par un tribunal (...), qui décidera (...) des contestations sur ses droits et obligations de caractère civil (...) » A. Sur la recevabilité 1. Tardiveté de la requête</w:t>
      </w:r>
    </w:p>
    <w:p>
      <w:r>
        <w:rPr>
          <w:b/>
        </w:rPr>
        <w:t>E. 32</w:t>
      </w:r>
    </w:p>
    <w:p>
      <w:r>
        <w:t>Le Gouvernement excipe de la tardiveté de la requête pour ce qui est du grief portant sur l’insuffisance de l’indemnisation « Pinto » en ce que les requérants auraient omis de saisir la Cour dans les six mois suivant la décision interne contestée.</w:t>
      </w:r>
    </w:p>
    <w:p>
      <w:r>
        <w:rPr>
          <w:b/>
        </w:rPr>
        <w:t>E. 33</w:t>
      </w:r>
    </w:p>
    <w:p>
      <w:r>
        <w:t>La Cour relève que la décision interne définitive, au sens de l’article 35 § 1 de la Convention, est la décision de la cour d’appel de Milan déposée le 24 décembre 2001, qui est passée en force de chose jugée le 11 août 2002, soit moins de six mois avant la date d’introduction de cette requête, à savoir le 8 novembre 2002 (voir paragraphes 1 et 22 ci-dessus). Elle rejette partant l’exception. 2. Qualité de « victime »</w:t>
      </w:r>
    </w:p>
    <w:p>
      <w:r>
        <w:rPr>
          <w:b/>
        </w:rPr>
        <w:t>E. 34</w:t>
      </w:r>
    </w:p>
    <w:p>
      <w:r>
        <w:t>Le Gouvernement soutient que les requérants ne peuvent plus se prétendre « victimes » de la violation de l’article 6 § 1 car ils ont obtenu des cours d’appel « Pinto » un constat de violation et un redressement approprié et suffisant, compte tenu aussi de l’objet et de l’enjeu du litige. Il affirme que les cours d’appel « Pinto » ont tranché les affaires en conformité avec les paramètres indemnitaires dégagés des précédents disponibles à l’époque dans la jurisprudence de la Cour. Il souligne qu’il serait inapproprié d’apprécier l’évaluation de la cour d’appel, faite le 19 décembre 2001, sur la base des paramètres introduits par la Cour lors des arrêts de la Grande Chambre du 29 mars 2006 (parmi d’autres, Cocchiarella c. Italie, précité).</w:t>
      </w:r>
    </w:p>
    <w:p>
      <w:r>
        <w:rPr>
          <w:b/>
        </w:rPr>
        <w:t>E. 35</w:t>
      </w:r>
    </w:p>
    <w:p>
      <w:r>
        <w:t>La Cour, n’apercevant aucun motif de déroger à ses précédentes conclusions, après avoir examiné l’ensemble des faits des causes et les arguments des parties, considère que les redressements se sont révélés insuffisants (voir Delle Cave et Corrado c. Italie , n o 14626/03, §§ 26-31, 5 juin 2007, CEDH 2007 ‑ VI ; Cocchiarella c. Italie [GC], n o 64886/01, § 69-98, CEDH 2006 ‑ V).</w:t>
      </w:r>
    </w:p>
    <w:p>
      <w:r>
        <w:rPr>
          <w:b/>
        </w:rPr>
        <w:t>E. 36</w:t>
      </w:r>
    </w:p>
    <w:p>
      <w:r>
        <w:t>Quant aux observations du Gouvernement relatives à une prétendue incohérence entre, d’une part, les paramètres indemnitaires dégagés dans les arrêts de la Grande Chambre du 29 mars 2006 et, d’autre part, ceux suivis dans les requêtes italiennes de durée précédemment tranchées par la Cour ainsi que dans les affaires similaires d’autres pays, la Cour rappelle qu’elle a déjà rejeté une exception semblable dans l’arrêt Aragosa c. Italie ( Aragosa c. Italie , n o 20191/03, §§ 17 ‑ 24, 18 décembre 2007). Elle n’aperçoit dans la présente espèce aucun motif de déroger à ce précédent et rejette dès lors l’exception du Gouvernement.</w:t>
      </w:r>
    </w:p>
    <w:p>
      <w:r>
        <w:rPr>
          <w:b/>
        </w:rPr>
        <w:t>E. 37</w:t>
      </w:r>
    </w:p>
    <w:p>
      <w:r>
        <w:t>Partant, les requérants peuvent toujours se prétendre « victimes », au sens de l’article 34 de la Convention. 2. Conclusion</w:t>
      </w:r>
    </w:p>
    <w:p>
      <w:r>
        <w:rPr>
          <w:b/>
        </w:rPr>
        <w:t>E. 38</w:t>
      </w:r>
    </w:p>
    <w:p>
      <w:r>
        <w:t>La Cour constate que les griefs ne se heurtent à aucun autre des motifs d’irrecevabilité inscrits à l’article 35 § 3 de la Convention. Aussi, elle les déclare recevables. B. Sur le fond</w:t>
      </w:r>
    </w:p>
    <w:p>
      <w:r>
        <w:rPr>
          <w:b/>
        </w:rPr>
        <w:t>E. 39</w:t>
      </w:r>
    </w:p>
    <w:p>
      <w:r>
        <w:t>La Cour constate que la procédure principale, qui a débuté le 7 novembre 1975 pour se terminer le 18 novembre 1999, a duré plus de vingt-quatre ans pour trois degrés de juridiction. La Cour constate en outre que l’indemnisation « Pinto » n’a été versée que le 3 septembre 2002, à savoir plus de huit mois après le dépôt au greffe de la décision de la cour d’appel de Milan.</w:t>
      </w:r>
    </w:p>
    <w:p>
      <w:r>
        <w:rPr>
          <w:b/>
        </w:rPr>
        <w:t>E. 40</w:t>
      </w:r>
    </w:p>
    <w:p>
      <w:r>
        <w:t>La Cour a traité à maintes reprises des requêtes soulevant des questions semblables à celle du cas d’espèce et a constaté une méconnaissance de l’exigence du « délai raisonnable », compte tenu des critères dégagés par sa jurisprudence bien établie en la matière (voir, en premier lieu, Cocchiarella c. Italie , précité). N’apercevant rien qui puisse mener à une conclusion différente dans la présente affaire, la Cour estime qu’il y a également lieu de constater une violation de l’article 6 § 1. II. SUR L’APPLICATION DE L’ARTICLE 41 DE LA CONVENTION</w:t>
      </w:r>
    </w:p>
    <w:p>
      <w:r>
        <w:rPr>
          <w:b/>
        </w:rPr>
        <w:t>E. 41</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42</w:t>
      </w:r>
    </w:p>
    <w:p>
      <w:r>
        <w:t>Les requérants réclament la somme globale d’un million d’euros au titre du dommage moral et matériel. Ils font valoir que la procédure litigieuse revêtait un enjeu particulièrement grave et importante (voir paragraphe 5 ci-dessus), notamment du point de vue humain.</w:t>
      </w:r>
    </w:p>
    <w:p>
      <w:r>
        <w:rPr>
          <w:b/>
        </w:rPr>
        <w:t>E. 43</w:t>
      </w:r>
    </w:p>
    <w:p>
      <w:r>
        <w:t>Le Gouvernement allègue que les requérants n’ont subi, du fait de la longueur des procédures, aucun préjudice autre que celui déjà reconnu et indemnisé à niveau interne.</w:t>
      </w:r>
    </w:p>
    <w:p>
      <w:r>
        <w:rPr>
          <w:b/>
        </w:rPr>
        <w:t>E. 44</w:t>
      </w:r>
    </w:p>
    <w:p>
      <w:r>
        <w:t>La Cour considère qu’elle aurait pu accorder à chacun des requérants pour la violation de l’article 6 § 1, en l’absence de voies de recours internes et compte tenu de l’enjeu du litige, la somme de 31 200 EUR. Le fait que la cour d’appel « Pinto » ait octroyé aux requérants 16 % de cette somme aboutit à un résultat manifestement déraisonnable. Par conséquent, eu égard aux caractéristiques de la voie de recours « Pinto », la Cour, compte tenu de la solution adoptée dans l’arrêt Cocchiarella c. Italie (précité, §§ 139-142 et 146) et statuant en équité, alloue à chacun des requérants 8 875 EUR ainsi que 200 EUR au titre de la frustration supplémentaire découlant du retard dans le versement de l’indemnisation « Pinto » (voir paragraphe 24 ci-dessus). B. Frais et dépens</w:t>
      </w:r>
    </w:p>
    <w:p>
      <w:r>
        <w:rPr>
          <w:b/>
        </w:rPr>
        <w:t>E. 45</w:t>
      </w:r>
    </w:p>
    <w:p>
      <w:r>
        <w:t>Notes d’honoraires à l’appui, les requérants demandent également le remboursement des frais et dépens engagés devant les juridictions nationales et devant la Cour, à hauteur de 50 000 EUR.</w:t>
      </w:r>
    </w:p>
    <w:p>
      <w:r>
        <w:rPr>
          <w:b/>
        </w:rPr>
        <w:t>E. 46</w:t>
      </w:r>
    </w:p>
    <w:p>
      <w:r>
        <w:t>Le Gouvernement ne s’est pas prononcé sur ce point.</w:t>
      </w:r>
    </w:p>
    <w:p>
      <w:r>
        <w:rPr>
          <w:b/>
        </w:rPr>
        <w:t>E. 47</w:t>
      </w:r>
    </w:p>
    <w:p>
      <w:r>
        <w:t>La Cour rappelle que, selon sa jurisprudence, l’allocation des frais et dépens au titre de l’article 41 présuppose que se trouvent établis leur réalité, leur nécessité et le caractère raisonnable de leur taux ( Can et autres c. Turquie , n o 29189/02, § 22, 24 janvier 2008). En outre, les frais de justice ne sont recouvrables que dans la mesure où ils se rapportent à la violation constatée (voir, par exemple, Beyeler c. Italie (satisfaction équitable) [GC], n o 33202/96, § 27, 28 mai 2002 ; Sahin c. Allemagne [GC], n o 30943/96, § 105, CEDH 2003 ‑ VIII).</w:t>
      </w:r>
    </w:p>
    <w:p>
      <w:r>
        <w:rPr>
          <w:b/>
        </w:rPr>
        <w:t>E. 48</w:t>
      </w:r>
    </w:p>
    <w:p>
      <w:r>
        <w:t>En l’espèce et compte tenu des documents en sa possession et des critères susmentionnés, la Cour estime raisonnable d’octroyer la somme globale de 2 500 EUR au titre des frais et dépens. C. Intérêts moratoires</w:t>
      </w:r>
    </w:p>
    <w:p>
      <w:r>
        <w:rPr>
          <w:b/>
        </w:rPr>
        <w:t>E. 49</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