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3863/06 vom 13. Oktober 2011</w:t>
      </w:r>
    </w:p>
    <w:p>
      <w:r>
        <w:t>Ecthr Committee, 2011-10-13, FR</w:t>
      </w:r>
    </w:p>
    <w:p>
      <w:r>
        <w:rPr>
          <w:b/>
        </w:rPr>
        <w:t xml:space="preserve">Quelle: </w:t>
      </w:r>
      <w:r>
        <w:t>https://mcp.opencaselaw.ch/entscheid/ecthr_committee_3863_06</w:t>
      </w:r>
    </w:p>
    <w:p>
      <w:r>
        <w:t>FR: ECTHR_COMMITTEE 3863/06 du 13 octobre 2011</w:t>
      </w:r>
    </w:p>
    <w:p>
      <w:r>
        <w:t>IT: ECTHR_COMMITTEE 3863/06 del 13 ottobre 2011</w:t>
      </w:r>
    </w:p>
    <w:p>
      <w:pPr>
        <w:pStyle w:val="Heading2"/>
      </w:pPr>
      <w:r>
        <w:t>Regeste</w:t>
      </w:r>
    </w:p>
    <w:p>
      <w:r>
        <w:t>Violation de l'art. 6-1;Violation de l'art. 13; Violation: 6;6-1;13</w:t>
      </w:r>
    </w:p>
    <w:p>
      <w:pPr>
        <w:pStyle w:val="Heading2"/>
      </w:pPr>
      <w:r>
        <w:t>Erwägungen</w:t>
      </w:r>
    </w:p>
    <w:p>
      <w:r>
        <w:rPr>
          <w:b/>
        </w:rPr>
        <w:t>E. 23</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24</w:t>
      </w:r>
    </w:p>
    <w:p>
      <w:r>
        <w:t>Le Gouvernement admet qu’il y a eu violation de cet article. Il souligne cependant que l’affaire revêtait une certaine complexité et doit être vue dans le contexte des autres procédures parallèles que le requérant a engagées. Celui-ci aurait par ailleurs contribué de manière significative à la durée en formulant une multitude de recours dont une demande de récusation et quatre recours constitutionnels. Le Gouvernement est d’avis que la décision de la cour d’appel du travail de suspendre la procédure en attendant l’issue de la procédure de licenciement et de résolution judiciaire était raisonnable. Il soutient enfin que si la présente procédure s’inscrit dans un contentieux en droit du travail, la demande du requérant tendant au maintien dans son emploi ne commandait pas la même célérité qu’un contentieux portant sur l’existence même d’une relation de travail.</w:t>
      </w:r>
    </w:p>
    <w:p>
      <w:r>
        <w:rPr>
          <w:b/>
        </w:rPr>
        <w:t>E. 25</w:t>
      </w:r>
    </w:p>
    <w:p>
      <w:r>
        <w:t>La Cour note que la période à considérer a débuté le 23 mai 1990 et s’est terminée le 1 er juillet 2005, date de la décision de la Cour constitutionnelle fédérale. Elle a donc duré un peu plus de quinze ans, pour quatre instances. A. Sur la recevabilité</w:t>
      </w:r>
    </w:p>
    <w:p>
      <w:r>
        <w:rPr>
          <w:b/>
        </w:rPr>
        <w:t>E. 26</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27</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28</w:t>
      </w:r>
    </w:p>
    <w:p>
      <w:r>
        <w:t>La Cour a traité à maintes reprises d’affaires soulevant des questions semblables à celle du cas d’espèce et a constaté la violation de l’article 6 § 1 de la Convention ( Mianowicz précité, Dostál c. République tchèque , n o 52859/99, 25 mai 2004, Mianowicz n o 2 , précité, et Kressin c. Allemagne , n o 21061/06, 22 décembre 2009).</w:t>
      </w:r>
    </w:p>
    <w:p>
      <w:r>
        <w:rPr>
          <w:b/>
        </w:rPr>
        <w:t>E. 29</w:t>
      </w:r>
    </w:p>
    <w:p>
      <w:r>
        <w:t>Après avoir examiné tous les éléments qui lui ont été soumis, la Cour considère que si la durée de la procédure depuis sa reprise en 2002 jusqu’à son achèvement le 1 er juillet 2005 ne saurait être considérée comme déraisonnable en soi, la durée totale de la procédure litigieuse est excessive et ne répond pas à l’exigence du « délai raisonnable ». Elle rappelle à cet égard que le fait que la durée de la présente procédure est en grande partie due à la décision de suspendre son examen en attendant l’issue de la procédure de licenciement et de résolution judiciaire du contrat (paragraphe 8 ci-dessus), ne lui enlève pas son caractère excessif mais doit être pris en considération dans le cadre de l’article 41 de la Convention ( Mianowicz n o 2 , précité, § 45).</w:t>
      </w:r>
    </w:p>
    <w:p>
      <w:r>
        <w:rPr>
          <w:b/>
        </w:rPr>
        <w:t>E. 30</w:t>
      </w:r>
    </w:p>
    <w:p>
      <w:r>
        <w:t>Partant, il y a eu violation de l’article 6 § 1. II. SUR LA VIOLATION ALLÉGUÉE DE L’ARTICLE 13 DE LA CONVENTION</w:t>
      </w:r>
    </w:p>
    <w:p>
      <w:r>
        <w:rPr>
          <w:b/>
        </w:rPr>
        <w:t>E. 31</w:t>
      </w:r>
    </w:p>
    <w:p>
      <w:r>
        <w:t>Le requérant se plaint également du fait qu’en Allemagne il n’existe aucune juridiction à laquelle l’on puisse s’adresser pour se plaindre de la durée excessive de la procédure. Il invoque l’article 13 de la Convention qui est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32</w:t>
      </w:r>
    </w:p>
    <w:p>
      <w:r>
        <w:t>Le Gouvernement concède que le requérant n’avait à sa disposition aucun recours effectif lui permettant de se plaindre de la durée de la procédure litigieuse. Il fait état du projet de loi portant introduction d’un nouveau recours en indemnisation en droit allemand. A. Sur la recevabilité</w:t>
      </w:r>
    </w:p>
    <w:p>
      <w:r>
        <w:rPr>
          <w:b/>
        </w:rPr>
        <w:t>E. 33</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34</w:t>
      </w:r>
    </w:p>
    <w:p>
      <w:r>
        <w:t>La Cour rappelle qu’elle a déjà constaté à plusieurs reprises l’absence d’un recours effectif en droit allemand pour se plaindre de la durée excessive d’une procédure civile, au sens de l’article 6 de la Convention ( Sürmeli c. Allemagne [GC], n o 75529/01, §§ 115-116, CEDH 2006 ‑ VII, Herbst c. Allemagne , n o 20027/02, §§ 65-68, 11 janvier 2007, et Rumpf c. Allemagne , n o 46344/06, § 52, 2 septembre 2010).</w:t>
      </w:r>
    </w:p>
    <w:p>
      <w:r>
        <w:rPr>
          <w:b/>
        </w:rPr>
        <w:t>E. 35</w:t>
      </w:r>
    </w:p>
    <w:p>
      <w:r>
        <w:t>Partant, il y a eu violation de l’article 13 de la Convention. III. LES AUTRES GRIEFS SOULEVES</w:t>
      </w:r>
    </w:p>
    <w:p>
      <w:r>
        <w:rPr>
          <w:b/>
        </w:rPr>
        <w:t>E. 36</w:t>
      </w:r>
    </w:p>
    <w:p>
      <w:r>
        <w:t>Dans la mesure où le requérant semble soulever de nouveau certains griefs tirés de l’article 6 § 1 de la Convention et du Protocole n o 1, la Cour rappelle que, dans sa décision partielle du 19 mai 2009, elle a décidé de ne porter à la connaissance du Gouvernement que les griefs tirés de la durée de la procédure et de l’absence d’un recours effectif, au sens de l’article 13 de la Convention, pour se plaindre de la durée d’une procédure, et de déclarer les autres griefs soulevés irrecevables. Partant, il n’y a pas lieu d’en connaître de nouveau. IV. SUR L’APPLICATION DE L’ARTICLE 41 DE LA CONVENTION</w:t>
      </w:r>
    </w:p>
    <w:p>
      <w:r>
        <w:rPr>
          <w:b/>
        </w:rPr>
        <w:t>E. 37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38</w:t>
      </w:r>
    </w:p>
    <w:p>
      <w:r>
        <w:t>Au titre de préjudice matériel le requérant réclame 235 474,45 euros (EUR) pour la perte de trois ans de salaire, au moins 25 000 EUR pour la violation de son droit fondamental à être employé et 6 174,98 EUR et intérêts pour les frais d’avocats de la partie adverse dans la procédure devant les juridictions internes. Au titre du préjudice moral qu’il aurait subi, le requérant réclame 63 000 EUR.</w:t>
      </w:r>
    </w:p>
    <w:p>
      <w:r>
        <w:rPr>
          <w:b/>
        </w:rPr>
        <w:t>E. 39</w:t>
      </w:r>
    </w:p>
    <w:p>
      <w:r>
        <w:t>En ce qui concerne le dommage matériel allégué, le Gouvernement fait valoir l’absence d’un lien de causalité entre les violations et le dommage allégués. Quant au dommage moral allégué, il ne se prononce pas en raison du caractère excessif des prétentions.</w:t>
      </w:r>
    </w:p>
    <w:p>
      <w:r>
        <w:rPr>
          <w:b/>
        </w:rPr>
        <w:t>E. 40</w:t>
      </w:r>
    </w:p>
    <w:p>
      <w:r>
        <w:t>La Cour n’aperçoit pas de lien de causalité entre les violations constatées et le dommage matériel allégué et rejette cette demande. Elle estime en revanche que le requérant a subi un tort moral certain. Concernant la durée de la procédure, elle considère toutefois que le constat de violation de l’article 6 § 1 de la Convention constitue une satisfaction équitable suffisante tant en ce qui concerne la durée provoquée par la suspension de la procédure litigieuse (paragraphes 13-16 ci-dessus – cf. Mianowicz n o 2 précité, § 66) que pour ce qui est de la durée de la procédure depuis sa reprise jusqu’à son achèvement (paragraphe 29 ci-dessus). Quant à la violation de l’article 13 de la Convention, statuant en équité, elle accorde 1 000 EUR au requérant à ce titre. B. Frais et dépens</w:t>
      </w:r>
    </w:p>
    <w:p>
      <w:r>
        <w:rPr>
          <w:b/>
        </w:rPr>
        <w:t>E. 41</w:t>
      </w:r>
    </w:p>
    <w:p>
      <w:r>
        <w:t>Le requérant demande également 3 395, 56 EUR pour les frais d’avocat engagés devant la Cour fédérale du travail et 4 500 EUR pour ceux engagés devant la Cour ainsi que 1 370, 85 EUR à titre de frais de traduction pour la procédure devant la Cour. Il demande en outre 2 000 EUR pour ses propres fais engagés devant les juridictions internes et devant la Cour ainsi que 150 EUR au titre de frais de photocopies, de télécopie et de port.</w:t>
      </w:r>
    </w:p>
    <w:p>
      <w:r>
        <w:rPr>
          <w:b/>
        </w:rPr>
        <w:t>E. 42</w:t>
      </w:r>
    </w:p>
    <w:p>
      <w:r>
        <w:t>Le Gouvernement n’a pas pris position à cet égard.</w:t>
      </w:r>
    </w:p>
    <w:p>
      <w:r>
        <w:rPr>
          <w:b/>
        </w:rPr>
        <w:t>E. 43</w:t>
      </w:r>
    </w:p>
    <w:p>
      <w:r>
        <w:t>La Cour rappelle qu’un requérant ne peut obtenir le remboursement de ses frais et dépens que dans la mesure où se trouvent établis leur réalité, leur nécessité, c’est-à-dire où ils se rapportent aux violations constatées, et le caractère raisonnable de leur taux. Compte tenu des documents en sa possession et de sa jurisprudence et eu égard au fait que les observations du requérant ne portaient pas uniquement sur les griefs que la Cour avait portés à la connaissance du Gouvernement (paragraphe 36 ci-dessus), la Cour estime raisonnable d’allouer en l’occurrence la somme de 3 900 EUR pour la procédure devant la Cour (tous frais confondus) et 250 EUR pour les frais du requérant. Sur ce point, elle rappelle que dans les affaires de durée de procédure le prolongement de l’examen d’une cause au-delà du « délai raisonnable » entraîne une augmentation des frais à la charge de l’intéressé ( Sürmeli précité, § 148). Partant, elle accorde 4 150 EUR au requérant au titre de frais et dépens. C. Intérêts moratoires</w:t>
      </w:r>
    </w:p>
    <w:p>
      <w:r>
        <w:rPr>
          <w:b/>
        </w:rPr>
        <w:t>E. 44</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