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34873/24 vom 2. April 2026</w:t>
      </w:r>
    </w:p>
    <w:p>
      <w:r>
        <w:t>Ecthr Committee, 2026-04-02, FR</w:t>
      </w:r>
    </w:p>
    <w:p>
      <w:r>
        <w:rPr>
          <w:b/>
        </w:rPr>
        <w:t xml:space="preserve">Quelle: </w:t>
      </w:r>
      <w:r>
        <w:t>https://mcp.opencaselaw.ch/entscheid/ecthr_committee_34873_24</w:t>
      </w:r>
    </w:p>
    <w:p>
      <w:r>
        <w:t>FR: ECTHR_COMMITTEE 34873/24 du 2 avril 2026</w:t>
      </w:r>
    </w:p>
    <w:p>
      <w:r>
        <w:t>IT: ECTHR_COMMITTEE 34873/24 del 2 aprile 2026</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Respect des biens); Violation: 6;6-1;P1-1;P1-1-1</w:t>
      </w:r>
    </w:p>
    <w:p>
      <w:pPr>
        <w:pStyle w:val="Heading2"/>
      </w:pPr>
      <w:r>
        <w:t>Erwägungen</w:t>
      </w:r>
    </w:p>
    <w:p>
      <w:r>
        <w:rPr>
          <w:b/>
        </w:rPr>
        <w:t>E. 6</w:t>
      </w:r>
    </w:p>
    <w:p>
      <w:r>
        <w:t>Dans les arrêts de principe Ventorino c. Italie, n o 357/07, 17 mai 2011, De Trana c. Italie, n o 64215/01, 16 octobre 2007, Nicola Silvestri c. Italie, n o 16861/02, 9 juin 2009, Antonetto c. Italie, n o 15918/89, 20 juillet 2000, la Cour a conclu à la violation au sujet de questions similaires à celles qui font l’objet de la présente affaire.</w:t>
      </w:r>
    </w:p>
    <w:p>
      <w:r>
        <w:rPr>
          <w:b/>
        </w:rPr>
        <w:t>E. 7</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la décision de justice rendue en faveur de la requérante.</w:t>
      </w:r>
    </w:p>
    <w:p>
      <w:r>
        <w:rPr>
          <w:b/>
        </w:rPr>
        <w:t>E. 8</w:t>
      </w:r>
    </w:p>
    <w:p>
      <w:r>
        <w:t>Il s’ensuit que ce grief est recevable et révèle une violation de l’article 6 § 1. SUR Les AUTREs VIOLATIONs ALLÉGUÉEs RELEVANT D’UNE JURISPRUDENCE BIEN ÉTABLIE</w:t>
      </w:r>
    </w:p>
    <w:p>
      <w:r>
        <w:rPr>
          <w:b/>
        </w:rPr>
        <w:t>E. 9</w:t>
      </w:r>
    </w:p>
    <w:p>
      <w:r>
        <w:t>La requérante a formulé d’autres griefs qui soulèvent aussi des questions au regard de la Convention, selon la jurisprudence bien établie de la Cour (voir tableau joint en annexe). Constatant que ces griefs ne sont pas manifestement mal fondés au sens de l’article 35 § 3 a) de la Convention et ne se heurtent à aucun autre motif d’irrecevabilité, la Cour les déclare recevables. Après examen de l’ensemble des éléments en sa possession, elle conclut qu’ils révèlent également des violations de la Convention, eu égard à ses constats dans Ventorino (précité). SUR L’APPLICATION DE L’ARTICLE 41 DE LA CONVENTION</w:t>
      </w:r>
    </w:p>
    <w:p>
      <w:r>
        <w:rPr>
          <w:b/>
        </w:rPr>
        <w:t>E. 10</w:t>
      </w:r>
    </w:p>
    <w:p>
      <w:r>
        <w:t>Eu égard aux documents en sa possession et à sa jurisprudence ( Ventorino , précité, De Trana , précité, Nicola Silvestri , précité, et Antonetto , précité), la Cour estime raisonnable d’allouer les sommes indiquées dans le tableau joint en annexe.</w:t>
      </w:r>
    </w:p>
    <w:p>
      <w:r>
        <w:rPr>
          <w:b/>
        </w:rPr>
        <w:t>E. 11</w:t>
      </w:r>
    </w:p>
    <w:p>
      <w:r>
        <w:t>La Cour constate en outre que l’État défendeur demeure tenu d’exécuter la décision de justice qui reste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