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ECTHR_COMMITTEE 34656/18 vom 10. Juni 2025</w:t>
      </w:r>
    </w:p>
    <w:p>
      <w:r>
        <w:t>Ecthr Committee, 2025-06-10, FR</w:t>
      </w:r>
    </w:p>
    <w:p>
      <w:r>
        <w:rPr>
          <w:b/>
        </w:rPr>
        <w:t xml:space="preserve">Quelle: </w:t>
      </w:r>
      <w:r>
        <w:t>https://mcp.opencaselaw.ch/entscheid/ecthr_committee_34656_18</w:t>
      </w:r>
    </w:p>
    <w:p>
      <w:r>
        <w:t>FR: ECTHR_COMMITTEE 34656/18 du 10 juin 2025</w:t>
      </w:r>
    </w:p>
    <w:p>
      <w:r>
        <w:t>IT: ECTHR_COMMITTEE 34656/18 del 10 giugno 2025</w:t>
      </w:r>
    </w:p>
    <w:p>
      <w:pPr>
        <w:pStyle w:val="Heading2"/>
      </w:pPr>
      <w:r>
        <w:t>Regeste</w:t>
      </w:r>
    </w:p>
    <w:p>
      <w:r>
        <w:t>Violation de l'article 6+6-3-d - Droit à un procès équitable (Article 6 - Procédure pénale;Article 6-1 - Procès équitable) (Article 6 - Droit à un procès équitable;Article 6-3-d - Témoins); Violation: 6;6+6-3-d;6-3-d;6-1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Ces éléments suffisent à la Cour pour conclure qu’il y a eu en l’occurrence violation de l’article 6 §§ 1 et 3 d) de la Convention. APPLICATION DE L’ARTICLE 41 DE LA CONVENTION</w:t>
      </w:r>
    </w:p>
    <w:p>
      <w:r>
        <w:rPr>
          <w:b/>
        </w:rPr>
        <w:t>E. 24</w:t>
      </w:r>
    </w:p>
    <w:p>
      <w:r>
        <w:t>Le requérant demande 600 levs bulgares (BGN) au titre du dommage matériel qu’il estime avoir subi, 25 000 euros (EUR) pour le dommage moral qu’il aurait subi, 3 000 BGN au titre des frais et dépens qu’il dit avoir engagés dans le cadre de la procédure menée devant les juridictions internes et 3 000 EUR au titre de ceux qu’il dit avoir engagés aux fins de la procédure menée devant la Cour.</w:t>
      </w:r>
    </w:p>
    <w:p>
      <w:r>
        <w:rPr>
          <w:b/>
        </w:rPr>
        <w:t>E. 25</w:t>
      </w:r>
    </w:p>
    <w:p>
      <w:r>
        <w:t>Le Gouvernement conteste le bien-fondé de la prétention concernant le dommage matériel, estime que la prétention relative au dommage moral est exorbitante et invite la Cour à réduire, voire à rejeter entièrement, la prétention au titre des frais et dépens.</w:t>
      </w:r>
    </w:p>
    <w:p>
      <w:r>
        <w:rPr>
          <w:b/>
        </w:rPr>
        <w:t>E. 26</w:t>
      </w:r>
    </w:p>
    <w:p>
      <w:r>
        <w:t>La Cour ne distingue aucun lien de causalité entre la violation constatée et le dommage matériel allégué. Elle rejette donc la demande formulée à ce titre. Pour ce qui est du dommage moral, la Cour ne saurait spéculer sur l’issue de la procédure pénale menée contre le requérant si la violation constatée de l’article 6 §§ 1 et 3 d) de la Convention n’avait pas existé ( Ibrahim et autres c. Royaume-Uni [GC], n os 50541/08 et 3 autres, § 315, 13 septembre 2016). Elle estime que, dans les circonstances de l’espèce, il n’est pas nécessaire d’accorder une somme à ce titre. À l’instar de ce qu’elle a indiqué dans d’autres affaires similaires contre la Bulgarie ( Yanakiev c. Bulgarie , n o 40476/98, § 90, 10 août 2006, Idakiev c. Bulgarie , n o 33681/05, § 70, 21 juin 2011, et D.M.T. et D.K.I. c. Bulgarie , n o 29476/06, § 139, 24 juillet 2012), la Cour considère que le redressement le plus approprié dans le cas d’espèce consisterait à rouvrir la procédure pénale dont le requérant a fait l’objet, notamment dans sa partie concernant la charge de subornation de témoin à l’égard de S.G.</w:t>
      </w:r>
    </w:p>
    <w:p>
      <w:r>
        <w:rPr>
          <w:b/>
        </w:rPr>
        <w:t>E. 27</w:t>
      </w:r>
    </w:p>
    <w:p>
      <w:r>
        <w:t>Compte tenu des documents en sa possession et de sa jurisprudence, la Cour juge raisonnable d’allouer au requérant la somme de 3 534 EUR tous frais confondus, plus tout montant pouvant être dû sur cette somme à titre d’impôt.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