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19124/06 vom 22. Juli 2014</w:t>
      </w:r>
    </w:p>
    <w:p>
      <w:r>
        <w:t>Ecthr Committee, 2014-07-22, FR</w:t>
      </w:r>
    </w:p>
    <w:p>
      <w:r>
        <w:rPr>
          <w:b/>
        </w:rPr>
        <w:t xml:space="preserve">Quelle: </w:t>
      </w:r>
      <w:r>
        <w:t>https://mcp.opencaselaw.ch/entscheid/ecthr_committee_19124_06</w:t>
      </w:r>
    </w:p>
    <w:p>
      <w:r>
        <w:t>FR: ECTHR_COMMITTEE 19124/06 du 22 juillet 2014</w:t>
      </w:r>
    </w:p>
    <w:p>
      <w:r>
        <w:t>IT: ECTHR_COMMITTEE 19124/06 del 22 luglio 2014</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11</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12</w:t>
      </w:r>
    </w:p>
    <w:p>
      <w:r>
        <w:t>Le Gouvernement s’oppose à cette thèse.</w:t>
      </w:r>
    </w:p>
    <w:p>
      <w:r>
        <w:rPr>
          <w:b/>
        </w:rPr>
        <w:t>E. 13</w:t>
      </w:r>
    </w:p>
    <w:p>
      <w:r>
        <w:t>La période à considérer a débuté le 13 juin 1997 et s’est terminée le 15 mars 2006. Elle a donc duré huit ans et six mois environ. A. Sur la recevabilité</w:t>
      </w:r>
    </w:p>
    <w:p>
      <w:r>
        <w:rPr>
          <w:b/>
        </w:rPr>
        <w:t>E. 14</w:t>
      </w:r>
    </w:p>
    <w:p>
      <w:r>
        <w:t>La Cour fait observer qu’un nouveau recours en indemnisation a été instauré en Turquie à la suite de l’application de la procédure d’arrêt pilote dans l’affaire Ümmühan Kaplan c. Turquie (n o 24240/07, 20 mars 2012). Elle rappelle que, dans sa décision Turgut et autres c. Turquie (n o 4860/09, 26 mars 2013), elle a déclaré irrecevable une nouvelle requête, faute pour les requérants d’avoir épuisé les voies de recours internes, en l’occurrence le nouveau recours. Pour ce faire, elle a considéré notamment que ce nouveau recours était, a priori , accessible et susceptible d’offrir des perspectives raisonnables de redressement pour les griefs relatifs à la durée de la procédure.</w:t>
      </w:r>
    </w:p>
    <w:p>
      <w:r>
        <w:rPr>
          <w:b/>
        </w:rPr>
        <w:t>E. 15</w:t>
      </w:r>
    </w:p>
    <w:p>
      <w:r>
        <w:t>La Cour rappelle également que, toujours dans son arrêt pilote Ümmühan Kaplan , précité, § 77, elle a précisé notamment qu’elle pourrait poursuivre, par la voie de la procédure normale, l’examen des requêtes de ce type déjà communiquées au Gouvernement. Elle note que le Gouvernement n’a pas soulevé en l’espèce une exception portant sur ce nouveau recours. À la lumière de ce qui précède, la Cour décide de poursuivre l’examen de la présente requête ( Rifat Demir c. Turquie , n o 24267/07, §§ 34 et 35, 4 juin 2013).</w:t>
      </w:r>
    </w:p>
    <w:p>
      <w:r>
        <w:rPr>
          <w:b/>
        </w:rPr>
        <w:t>E. 16</w:t>
      </w:r>
    </w:p>
    <w:p>
      <w:r>
        <w:t>Constatant que ce grief n’est pas manifestement mal fondé au sens de l’article 35 § 3 (a) de la Convention et qu’il ne se heurte à aucun autre motif d’irrecevabilité, la Cour le déclare recevable. B. Sur le fond</w:t>
      </w:r>
    </w:p>
    <w:p>
      <w:r>
        <w:rPr>
          <w:b/>
        </w:rPr>
        <w:t>E. 17</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 et Kaplan c. Turquie , n o 24240/07, § 48, 20 mars 2012).</w:t>
      </w:r>
    </w:p>
    <w:p>
      <w:r>
        <w:rPr>
          <w:b/>
        </w:rPr>
        <w:t>E. 18</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L’APPLICATION DE L’ARTICLE 41 DE LA CONVENTION</w:t>
      </w:r>
    </w:p>
    <w:p>
      <w:r>
        <w:rPr>
          <w:b/>
        </w:rPr>
        <w:t>E. 19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20</w:t>
      </w:r>
    </w:p>
    <w:p>
      <w:r>
        <w:t>Les requérants réclament 100 000 euros (EUR) au titre du préjudice moral qu’ils auraient subi.</w:t>
      </w:r>
    </w:p>
    <w:p>
      <w:r>
        <w:rPr>
          <w:b/>
        </w:rPr>
        <w:t>E. 21</w:t>
      </w:r>
    </w:p>
    <w:p>
      <w:r>
        <w:t>Le Gouvernement conteste ces prétentions.</w:t>
      </w:r>
    </w:p>
    <w:p>
      <w:r>
        <w:rPr>
          <w:b/>
        </w:rPr>
        <w:t>E. 22</w:t>
      </w:r>
    </w:p>
    <w:p>
      <w:r>
        <w:t>La Cour estime qu’il y a lieu d’octroyer aux requérants 4 000 EUR au titre du préjudice moral. B. Frais et dépens</w:t>
      </w:r>
    </w:p>
    <w:p>
      <w:r>
        <w:rPr>
          <w:b/>
        </w:rPr>
        <w:t>E. 23</w:t>
      </w:r>
    </w:p>
    <w:p>
      <w:r>
        <w:t>Les requérants demandent 1 000 EUR pour les frais et dépens engagés devant les juridictions internes et pour ceux engagés devant la Cour. Ils réclament également 10 000 EUR pour les frais d’avocat. Ils ne fournissent aucun justificatif pertinent à ce titre.</w:t>
      </w:r>
    </w:p>
    <w:p>
      <w:r>
        <w:rPr>
          <w:b/>
        </w:rPr>
        <w:t>E. 24</w:t>
      </w:r>
    </w:p>
    <w:p>
      <w:r>
        <w:t>Le Gouvernement conteste ces prétentions.</w:t>
      </w:r>
    </w:p>
    <w:p>
      <w:r>
        <w:rPr>
          <w:b/>
        </w:rPr>
        <w:t>E. 25</w:t>
      </w:r>
    </w:p>
    <w:p>
      <w:r>
        <w:t>Vu l’absence de justificatifs pertinents présentés par les requérants, la Cour rejette la demande. C. Intérêts moratoires</w:t>
      </w:r>
    </w:p>
    <w:p>
      <w:r>
        <w:rPr>
          <w:b/>
        </w:rPr>
        <w:t>E. 26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