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13902/08 vom 25. November 2010</w:t>
      </w:r>
    </w:p>
    <w:p>
      <w:r>
        <w:t>Ecthr Committee, 2010-11-25, FR</w:t>
      </w:r>
    </w:p>
    <w:p>
      <w:r>
        <w:rPr>
          <w:b/>
        </w:rPr>
        <w:t xml:space="preserve">Quelle: </w:t>
      </w:r>
      <w:r>
        <w:t>https://mcp.opencaselaw.ch/entscheid/ecthr_committee_13902_08</w:t>
      </w:r>
    </w:p>
    <w:p>
      <w:r>
        <w:t>FR: ECTHR_COMMITTEE 13902/08 du 25 novembre 2010</w:t>
      </w:r>
    </w:p>
    <w:p>
      <w:r>
        <w:t>IT: ECTHR_COMMITTEE 13902/08 del 25 novembre 2010</w:t>
      </w:r>
    </w:p>
    <w:p>
      <w:pPr>
        <w:pStyle w:val="Heading2"/>
      </w:pPr>
      <w:r>
        <w:t>Regeste</w:t>
      </w:r>
    </w:p>
    <w:p>
      <w:r>
        <w:t>Violation de l'art. 6-1; Violation: 6;6-1</w:t>
      </w:r>
    </w:p>
    <w:p>
      <w:pPr>
        <w:pStyle w:val="Heading2"/>
      </w:pPr>
      <w:r>
        <w:t>Erwägungen</w:t>
      </w:r>
    </w:p>
    <w:p>
      <w:r>
        <w:rPr>
          <w:b/>
        </w:rPr>
        <w:t>E. 14</w:t>
      </w:r>
    </w:p>
    <w:p>
      <w:r>
        <w:t>Le requérant allègue que la durée des procédures en cause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15</w:t>
      </w:r>
    </w:p>
    <w:p>
      <w:r>
        <w:t>Le Gouvernement s’oppose à cette thèse.</w:t>
      </w:r>
    </w:p>
    <w:p>
      <w:r>
        <w:rPr>
          <w:b/>
        </w:rPr>
        <w:t>E. 16</w:t>
      </w:r>
    </w:p>
    <w:p>
      <w:r>
        <w:t>De son côté, le gouvernement turc estime que le délai des procédures en cause est trop long et que les ressortissants turcs font l’objet de discriminations par la justice grecque. A. Sur la recevabilité</w:t>
      </w:r>
    </w:p>
    <w:p>
      <w:r>
        <w:rPr>
          <w:b/>
        </w:rPr>
        <w:t>E. 17</w:t>
      </w:r>
    </w:p>
    <w:p>
      <w:r>
        <w:t>En ce qui concerne le premier volet du grief tiré de la durée des procédures en cause, la Cour note que celle-ci s’est achevée le 4 mars 2005, à savoir plus de six mois avant le 6 mars 2008, date d’introduction de la présente requête. Il s’ensuit que cette partie du grief est tardive et doit être rejetée en application de l’article 35 §§ 1 et 4 de la Convention.</w:t>
      </w:r>
    </w:p>
    <w:p>
      <w:r>
        <w:rPr>
          <w:b/>
        </w:rPr>
        <w:t>E. 18</w:t>
      </w:r>
    </w:p>
    <w:p>
      <w:r>
        <w:t>En outre, en ce qui concerne le second volet du grief tiré de la durée des procédures en cause, la Cour constate qu’il n’est pas manifestement mal fondé au sens de l’article 35 § 3 de la Convention. Elle relève en outre qu’il ne se heurte à aucun autre motif d’irrecevabilité. Il convient donc de le déclarer recevable. B. Sur le fond</w:t>
      </w:r>
    </w:p>
    <w:p>
      <w:r>
        <w:rPr>
          <w:b/>
        </w:rPr>
        <w:t>E. 19</w:t>
      </w:r>
    </w:p>
    <w:p>
      <w:r>
        <w:t>La période à considérer a débuté le 31 octobre 2000, avec la saisine du tribunal de première instance d’Athènes d’une action sollicitant des dommages-intérêts supplémentaires et s’est terminée le 30 janvier 2008, avec la publication de l’arrêt n o 503/2008 de la cour d’appel d’Athènes. Elle a donc duré sept ans et trois mois environ pour deux degrés de juridiction.</w:t>
      </w:r>
    </w:p>
    <w:p>
      <w:r>
        <w:rPr>
          <w:b/>
        </w:rPr>
        <w:t>E. 20</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21</w:t>
      </w:r>
    </w:p>
    <w:p>
      <w:r>
        <w:t>La Cour a traité à maintes reprises d’affaires soulevant des questions semblables à celle du cas d’espèce et a constaté la violation de l’article 6 § 1 de la Convention (voir Frydlender précité).</w:t>
      </w:r>
    </w:p>
    <w:p>
      <w:r>
        <w:rPr>
          <w:b/>
        </w:rPr>
        <w:t>E. 22</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seconde procédure en cause a été excessive et ne répond pas à l’exigence du « délai raisonnable ». Partant, il y a eu violation de l’article 6 § 1. II. SUR LE RESTANT DES VIOLATIONS ALLÉGUÉES</w:t>
      </w:r>
    </w:p>
    <w:p>
      <w:r>
        <w:rPr>
          <w:b/>
        </w:rPr>
        <w:t>E. 23</w:t>
      </w:r>
    </w:p>
    <w:p>
      <w:r>
        <w:t>Le requérant se plaint dans l’abstrait de l’indemnité allouée par les juridictions internes.</w:t>
      </w:r>
    </w:p>
    <w:p>
      <w:r>
        <w:rPr>
          <w:b/>
        </w:rPr>
        <w:t>E. 24</w:t>
      </w:r>
    </w:p>
    <w:p>
      <w:r>
        <w:t>La Cour considère que, à supposer même que ledit grief remplisse les conditions de recevabilité prévues par l’article 35 § 1 de la Convention, il n’est aucunement étayé. Il s’ensuit que cette partie de la requête est manifestement mal fondée et doit être rejetée en application de l’article 35 §§ 3 et 4 de la Convention. III. SUR L’APPLICATION DE L’ARTICLE 41 DE LA CONVENTION</w:t>
      </w:r>
    </w:p>
    <w:p>
      <w:r>
        <w:rPr>
          <w:b/>
        </w:rPr>
        <w:t>E. 25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26</w:t>
      </w:r>
    </w:p>
    <w:p>
      <w:r>
        <w:t>Le requérant n’a présenté aucune demande de satisfaction équitable.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