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9989/20 vom 5. Juni 2025</w:t>
      </w:r>
    </w:p>
    <w:p>
      <w:r>
        <w:t>Ecthr Chamber, 2025-06-05, FR</w:t>
      </w:r>
    </w:p>
    <w:p>
      <w:r>
        <w:rPr>
          <w:b/>
        </w:rPr>
        <w:t xml:space="preserve">Quelle: </w:t>
      </w:r>
      <w:r>
        <w:t>https://mcp.opencaselaw.ch/entscheid/ecthr_chamber_9989_20</w:t>
      </w:r>
    </w:p>
    <w:p>
      <w:r>
        <w:t>FR: ECTHR_CHAMBER 9989/20 du 5 juin 2025</w:t>
      </w:r>
    </w:p>
    <w:p>
      <w:r>
        <w:t>IT: ECTHR_CHAMBER 9989/20 del 5 giugno 2025</w:t>
      </w:r>
    </w:p>
    <w:p>
      <w:pPr>
        <w:pStyle w:val="Heading2"/>
      </w:pPr>
      <w:r>
        <w:t>Regeste</w:t>
      </w:r>
    </w:p>
    <w:p>
      <w:r>
        <w:t>Violation de l'article 10 - Liberté d'expression - {général} (Article 10-1 - Liberté d'expression);Préjudice moral - constat de violation suffisant (Article 41 - Préjudice moral;Satisfaction équitable); Violation: 10;10-1</w:t>
      </w:r>
    </w:p>
    <w:p>
      <w:pPr>
        <w:pStyle w:val="Heading2"/>
      </w:pPr>
      <w:r>
        <w:t>Erwägungen</w:t>
      </w:r>
    </w:p>
    <w:p>
      <w:r>
        <w:rPr>
          <w:b/>
        </w:rPr>
        <w:t>E. 32</w:t>
      </w:r>
    </w:p>
    <w:p>
      <w:r>
        <w:t>La requérante se plaint de l’injonction qui lui a été faite par les juridictions administratives de supprimer de son compte Facebook les vidéos relatives aux propos injurieux et homophobes proférés par T.P. à son encontre. Elle invoque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Sur la recevabilité Sur l’exception tirée d’une absence de préjudice important</w:t>
      </w:r>
    </w:p>
    <w:p>
      <w:r>
        <w:rPr>
          <w:b/>
        </w:rPr>
        <w:t>E. 33</w:t>
      </w:r>
    </w:p>
    <w:p>
      <w:r>
        <w:t>Le Gouvernement soutient que la requérante n’a subi aucun préjudice important en l’espèce. Il affirme d’emblée qu’il n’a jamais négligé l’importance de la protection des droits et des libertés fondamentales des personnes LGBTQ+, et précise qu’il condamne toute forme de discrimination à l’égard des membres de cette communauté et exprime son plein soutien à tous les acteurs qui militent et travaillent dans le domaine de la défense des droits des personnes LGBTQ+.</w:t>
      </w:r>
    </w:p>
    <w:p>
      <w:r>
        <w:rPr>
          <w:b/>
        </w:rPr>
        <w:t>E. 34</w:t>
      </w:r>
    </w:p>
    <w:p>
      <w:r>
        <w:t>Le Gouvernement estime que dans la présente affaire, il n’existe aucune raison objective de considérer que l’obligation faite à la requérante de supprimer les images vidéo de sa page Facebook ait entraîné des conséquences négatives significatives pour elle. Il allègue que l’intéressée ne s’est pas conformée immédiatement à la décision rendue par le Centre le 3 mars 2018 et que les séquences vidéo litigieuses sont restées accessibles au public au moins jusqu’au 30 mai 2018 sur le compte Facebook en question. Il est en outre d’avis qu’il s’agissait en l’occurrence d’une simple dispute verbale malheureuse qui, faute d’implication plus large, ne soulève pas, selon lui, de véritables questions sérieuses sous l’angle de l’article 10 de la Convention.</w:t>
      </w:r>
    </w:p>
    <w:p>
      <w:r>
        <w:rPr>
          <w:b/>
        </w:rPr>
        <w:t>E. 35</w:t>
      </w:r>
    </w:p>
    <w:p>
      <w:r>
        <w:t>De plus, le Gouvernement fait valoir que les tribunaux nationaux ont mis fin à la procédure contraventionnelle ouverte contre la requérante, et il en déduit qu’elle n’a subi aucun préjudice financier.</w:t>
      </w:r>
    </w:p>
    <w:p>
      <w:r>
        <w:rPr>
          <w:b/>
        </w:rPr>
        <w:t>E. 36</w:t>
      </w:r>
    </w:p>
    <w:p>
      <w:r>
        <w:t>Pour conclure, le Gouvernement considère que, compte tenu de la durée suffisamment longue pendant laquelle les séquences vidéo litigieuses sont restées sur la page Facebook de la requérante et de l’absence de sanction de celle-ci à l’issue de la procédure contraventionnelle, le préjudice que l’intéressée a pu subir en l’espèce est d’ordre spéculatif.</w:t>
      </w:r>
    </w:p>
    <w:p>
      <w:r>
        <w:rPr>
          <w:b/>
        </w:rPr>
        <w:t>E. 37</w:t>
      </w:r>
    </w:p>
    <w:p>
      <w:r>
        <w:t>La requérante rétorque qu’elle a été agressée et menacée pendant plusieurs jours en raison de son activité de défense des droits de la communauté LGBTQ+. Elle estime que le comportement de T.P. n’est pas justifiable et reproche à la police de ne pas avoir réagi efficacement pour y mettre fin. Elle ajoute qu’elle a été contrainte d’agir seule face à l’agression dont elle faisait l’objet de la part de T.P. et que les faits lui ont causé un niveau élevé de stress et d’anxiété.</w:t>
      </w:r>
    </w:p>
    <w:p>
      <w:r>
        <w:rPr>
          <w:b/>
        </w:rPr>
        <w:t>E. 38</w:t>
      </w:r>
    </w:p>
    <w:p>
      <w:r>
        <w:t>La Cour note qu’une requête peut être rejetée par application du critère de recevabilité prévu par l’article 35 § 3 b) de la Convention si le requérant n’a subi aucun préjudice important, sauf si le respect des droits de l’homme garantis par la Convention et ses Protocoles exige un examen de la requête au fond. Elle rappelle que ledit critère repose sur l’idée que la violation d’un droit, même réelle d’un point de vue purement juridique, doit atteindre un minimum de gravité pour mériter d’être examinée par une juridiction internationale. L’appréciation de ce minimum est relative par essence ; elle dépend de l’ensemble des données de la cause. La gravité d’une violation doit être appréciée compte tenu à la fois de la perception subjective du requérant et de l’enjeu objectif d’une affaire donnée ( voir, par exemple, Šeks c. Croatie , n o 39325/20, § 47, 3 février 2022, et la jurisprudence qui y est citée). En outre, une violation de la Convention peut avoir trait à des questions de principe importantes et ainsi causer un préjudice important indépendamment de l’intérêt pécuniaire ( voir, par exemple, Panioglu c. Roumanie , n o 33794/14, § 73 in fine , 8 décembre 2020, et la jurisprudence qui y est citée).</w:t>
      </w:r>
    </w:p>
    <w:p>
      <w:r>
        <w:rPr>
          <w:b/>
        </w:rPr>
        <w:t>E. 39</w:t>
      </w:r>
    </w:p>
    <w:p>
      <w:r>
        <w:t>La Cour a déjà eu l’occasion de préciser que, dans les affaires concernant la liberté d’expression, l’application du critère de recevabilité énoncé à l’article 35 § 3 b) de la Convention devait tenir dûment compte de l’importance de cette liberté et faire l’objet d’un examen attentif de sa part. Pareil examen doit, entre autres, englober des éléments tels que la contribution à un débat d’intérêt général et le fait qu’une affaire implique la presse ou d’autres médias ( Sylka c. Pologne (déc.), n o 19219/07, § 28, 3 juin 2014, et Panioglu , précité, § 74). Ce dernier point peut également concerner les sites Internet et les réseaux sociaux, qui constituent de puissants outils de communication (comparer avec Delfi AS c. Estonie [GC], n o 64569/09, § 133, CEDH 2015 ).</w:t>
      </w:r>
    </w:p>
    <w:p>
      <w:r>
        <w:rPr>
          <w:b/>
        </w:rPr>
        <w:t>E. 40</w:t>
      </w:r>
    </w:p>
    <w:p>
      <w:r>
        <w:t>En l’espèce, la Cour relève que, dans la mesure où la requérante a subi des attaques verbales homophobes en raison de ses activités professionnelles, ce qui n’est pas nié par le Gouvernement, l’importance subjective de l’affaire pour l’intéressée paraît évidente dès lors qu’entrent ainsi en jeu son bien-être psychologique ainsi que sa dignité (voir, mutatis mutandis , s’agissant de l’applicabilité de l’article 8 de la Convention en cas de discours homophobe Beizaras et Levickas c. Lituanie , n o 41288/15, § 117, 14 janvier 2020, et Association ACCEPT et autres c. Roumanie , n o 19237/16, § 68, 1 er juin 2021).</w:t>
      </w:r>
    </w:p>
    <w:p>
      <w:r>
        <w:rPr>
          <w:b/>
        </w:rPr>
        <w:t>E. 41</w:t>
      </w:r>
    </w:p>
    <w:p>
      <w:r>
        <w:t>Quant à l’enjeu objectif du litige, la Cour prend note, d’une part, de ce que le tribunal ayant examiné l’affaire contraventionnelle de la requérante a relevé que l’incident avait été médiatisé et avait suscité de vives réactions dans la société (paragraphe 26 ci-dessus) et, d’autre part, de ce que les juges administratifs ont estimé en revanche que l’affaire ne relevait pas de l’intérêt public (paragraphe 21 ci-dessus). Pour sa part, elle estime que la question de savoir si les vidéos publiés par la requérante étaient ou non d’intérêt public est étroitement liée au fond du grief tiré de l’article 10 de la Convention. La Cour juge qu’à cette étape, il lui suffit de constater que l’intéressée a soulevé devant elle une question objectivement importante relative à la mise en balance entre la liberté d’expression exercée notamment pour lutter contre des actes illégaux et homophobes, et le droit au respect de la vie privée. Par ailleurs, elle considère que l’obligation faite à la requérante de supprimer les vidéos de sa page Facebook porte également sur des questions de principe importantes quant aux possibilités qui s’offrent aux victimes d’actes homophobes pour dénoncer publiquement ceux-ci.</w:t>
      </w:r>
    </w:p>
    <w:p>
      <w:r>
        <w:rPr>
          <w:b/>
        </w:rPr>
        <w:t>E. 42</w:t>
      </w:r>
    </w:p>
    <w:p>
      <w:r>
        <w:t>Compte tenu de ce qui précède, la Cour estime que le critère d’irrecevabilité visé à l’article 35 § 3 b) de la Convention ne peut pas être appliqué en l’espèce (comparer avec Eon c. France , n o 26118/10, §§ 35 et 36, 14 mars 2013, Panioglu , précité, § 75, Tőkés c. Roumanie , n os 15976/16 et 50461/17, §§ 54 et 55, 27 avril 2021, et Šeks , précité, §§ 49 et 50).</w:t>
      </w:r>
    </w:p>
    <w:p>
      <w:r>
        <w:rPr>
          <w:b/>
        </w:rPr>
        <w:t>E. 43</w:t>
      </w:r>
    </w:p>
    <w:p>
      <w:r>
        <w:t>Il s’ensuit que l’exception soulevée par le Gouvernement relativement à une absence de préjudice important doit être rejetée. Sur l’exception tirée d’un défaut de fondement de la requête</w:t>
      </w:r>
    </w:p>
    <w:p>
      <w:r>
        <w:rPr>
          <w:b/>
        </w:rPr>
        <w:t>E. 44</w:t>
      </w:r>
    </w:p>
    <w:p>
      <w:r>
        <w:t>Le Gouvernement considère par ailleurs que la requête est manifestement mal fondée, pour des raisons qu’il estime être étroitement liées à l’examen au fond, et il expose les arguments qu’il avance à l’appui de cette exception conjointement avec ceux relatifs au fond de l’affaire. La requérante n’a pas formulé d’observations à ce sujet.</w:t>
      </w:r>
    </w:p>
    <w:p>
      <w:r>
        <w:rPr>
          <w:b/>
        </w:rPr>
        <w:t>E. 45</w:t>
      </w:r>
    </w:p>
    <w:p>
      <w:r>
        <w:t>La Cour prend acte de la position du Gouvernement et considère qu’il ne présente aucun argument pouvant faire obstacle à l’examen au fond de la requête (comparer avec Conseil national de la jeunesse de Moldova c. République de Moldova , n o 15379/13, § 39, 25 juin 2024). Conclusion sur la recevabilité</w:t>
      </w:r>
    </w:p>
    <w:p>
      <w:r>
        <w:rPr>
          <w:b/>
        </w:rPr>
        <w:t>E. 46</w:t>
      </w:r>
    </w:p>
    <w:p>
      <w:r>
        <w:t>Constatant que la requête n’est pas manifestement mal fondée ni irrecevable pour un autre motif visé à l’article 35 de la Convention, la Cour la déclare recevable. Sur le fond Thèses des parties</w:t>
      </w:r>
    </w:p>
    <w:p>
      <w:r>
        <w:rPr>
          <w:b/>
        </w:rPr>
        <w:t>E. 47</w:t>
      </w:r>
    </w:p>
    <w:p>
      <w:r>
        <w:t>La requérante considère que l’obligation qui lui a été imposée de supprimer les vidéos litigieuses de sa page Facebook constitue une ingérence dans son droit à la liberté d’expression. Elle soutient que ladite ingérence, outre qu’elle n’était pas légale, ne poursuivait pas un but légitime, et qu’elle n’était pas davantage nécessaire.</w:t>
      </w:r>
    </w:p>
    <w:p>
      <w:r>
        <w:rPr>
          <w:b/>
        </w:rPr>
        <w:t>E. 48</w:t>
      </w:r>
    </w:p>
    <w:p>
      <w:r>
        <w:t>Elle allègue que le comportement de T.P. était menaçant et vulgaire, qu’il a eu lieu dans un espace public et qu’il visait une personne que son auteur percevait comme homosexuelle, et elle en déduit qu’il soulève des questions d’intérêt général. Elle estime que ce type de comportement peut être filmé et posté sur Internet par tout un chacun. Elle ajoute qu’il en va d’autant plus ainsi en l’espèce que les agissements dénoncés constituaient, selon elle, une atteinte à l’ordre public. La requérante avance également que le consentement de T.P. n’était pas requis pour l’enregistrement et la diffusion des vidéos litigieuses, et elle expose, à ce dernier égard, qu’elle les avait d’abord transmises à la police, laquelle n’aurait rien entrepris. Elle assure en outre qu’elle poursuivait un but spécifique et légitime, qui était, d’après elle, celui de protéger sa personne, ses clients et ses stagiaires, et de stopper l’agression.</w:t>
      </w:r>
    </w:p>
    <w:p>
      <w:r>
        <w:rPr>
          <w:b/>
        </w:rPr>
        <w:t>E. 49</w:t>
      </w:r>
    </w:p>
    <w:p>
      <w:r>
        <w:t>La requérante soutient que les instances internes n’ont pas effectué une mise en balance adéquate des différents intérêts en jeu, et qu’elles n’ont pas davantage expliqué en quoi les actes qui lui étaient reprochés étaient contraires à l’article 4 de la loi n o 133 relative à la protection des données à caractère personnel. Pour comparaison, elle met en exergue les conclusions auxquelles sont parvenues les instances ayant tranché son affaire contraventionnelle (paragraphe 26 ci-dessus).</w:t>
      </w:r>
    </w:p>
    <w:p>
      <w:r>
        <w:rPr>
          <w:b/>
        </w:rPr>
        <w:t>E. 50</w:t>
      </w:r>
    </w:p>
    <w:p>
      <w:r>
        <w:t>Au vu de ce qui précède, la requérante conclut qu’il y a eu violation de ses droits à la liberté d’expression et à la liberté de communiquer des informations relatives à l’agression qu’elle aurait subie au seul motif qu’elle était une avocate de la communauté LGBTQ+. 51. Le Gouvernement admet qu’il y a eu ingérence dans le droit à la liberté d’expression de la requérante. Toutefois, il considère que cette ingérence était prévue par l’article 4 de la loi n o 133 relative à la protection des données à caractère personnel, qu’elle poursuivait les buts légitimes, d’une part, de la protection de la vie privée de T.P., d’autre part, du bon déroulement de l’affaire contraventionnelle dirigée contre celui-ci et, enfin, du respect des droits de la défense, et qu’elle était nécessaire dans une société démocratique. 52. Le Gouvernement soutient que les instances internes ont fourni des motifs pertinents et suffisants à l’appui de leurs décisions. Il se réfère notamment au constat des juges selon lequel la diffusion des vidéos litigieuses entraînait des risques du fait de l’accès illimité offert aux tiers, de la durée indéterminée du stockage de l’information en cause, de la perte par la personne concernée de tout contrôle sur ses données à caractère personnel et d’une possible utilisation dans des buts prohibés de ces vidéos par des tiers. Il estime que les incidents filmés par la requérante relèvent d’un conflit privé, et non pas d’un débat d’intérêt public. Il est en outre d’avis que la requérante n’a pas subi de conséquence graves, soulignant, sur ce point, que la procédure contraventionnelle dirigée contre l’intéressée a été clôturée. 53. Enfin, le Gouvernement fait valoir que T.P. a été sanctionné disciplinairement par l’Union des avocats pour le comportement litigieux et que sa licence d’avocat a été retirée. Appréciation de la Cour 54. La Cour observe d’emblée que les parties s’accordent à considérer que l’obligation de supprimer de la page Facebook de la requérante les vidéos représentant T.P. a constitué une ingérence dans le droit de celle-ci à la liberté d’expression. Elle ne voit pas de raison de s’écarter de cette analyse (comparer avec Tierbefreier e.V. c. Allemagne , n o 45192/09, § 47, 16 janvier 2014). Pareille ingérence enfreint l’article 10 de la Convention, sauf si elle était « prévue par la loi », poursuivait un ou plusieurs buts légitimes au sens du paragraphe 2 de cet article et était « nécessaire dans une société démocratique ». 55. La Cour fait observer que les vidéos litigieuses ont été diffusées par une blogueuse connue sur une plateforme en ligne accessible au public sans restriction apparente et que, comme l’ont constaté les juges en charge de la procédure contraventionnelle (paragraphe 26 ci-dessus), elles ont été reprises dans la foulée par des médias et ont donné lieu à de vives réactions dans la société. Elle rappelle en outre que la diffusion des vidéos a eu lieu durant la semaine des fiertés et qu’elles touchaient à un sujet d’actualité. La Cour relève donc que l’impact des vidéos a été important et qu’elles ont touché un large public (comparer avec Savva Terentyev c. Russie , n o 10692/09, §§ 80 ‑ 81, 28 août 2018). Elle ajoute toutefois que ces vidéos ont vraisemblablement reçu une attention maximale immédiatement après leur diffusion et que les éléments dont elle dispose ne montrent pas que la visibilité et l’impact des vidéos étaient tout aussi importants avec l’écoulement du temps. a) Sur la légalité de l’ingérence 56. La Cour note que le Centre a estimé que la publication par la requérante des vidéos litigieuses était contraire à l’article 451 du code contraventionnel ainsi qu’aux articles 4 et 17 de la loi relative à la protection des données à caractère personnel (paragraphe 18 ci-dessus), et que cette conclusion a été entérinée par les tribunaux nationaux statuant dans la procédure administrative engagée par la requérante (paragraphes 21 et 23 ci ‑ dessus). Elle observe que les vidéos en question étaient utilisées comme preuves dans la procédure contraventionnelle dirigée contre T.P., que la requérante les a postées sur sa page Facebook alors que cette procédure était pendante et que l’article 451 du code contraventionnel interdisait la divulgation des éléments d’une affaire contraventionnelle sans l’aval de l’autorité en charge de celle-ci. Quant aux articles 4 et 17 de la loi relative à la protection des données à caractère personnel, la Cour prend note de l’interprétation du Centre selon laquelle ces dispositions pouvaient fonder, d’une part, l’opposition d’un particulier à une utilisation des données personnelles qu’il considérait attentatoire à sa vie privée et, d’autre part, l’ordre donné à la requérante de supprimer les données personnelles en question. 57. La Cour rappelle que son pouvoir de contrôler le respect du droit interne est limité, puisqu’il incombe au premier chef aux autorités nationales, et particulièrement aux cours et tribunaux, d’interpréter et d’appliquer le droit en question. À l’exception des cas où l’interprétation retenue est arbitraire ou manifestement déraisonnable, la tâche de la Cour consiste uniquement à déterminer si les effets de ladite interprétation sont compatibles avec la Convention ( Sanchez c. France [GC], n o 45581/15, § 128, 15 mai 2023, et les affaires qui y sont citées). En l’espèce, la Cour estime que les éléments dont elle dispose ne lui permettent pas de conclure que l’application de la législation nationale par le Centre et les tribunaux moldaves était de quelque manière que ce fût entachée d’arbitraire ou d’irrationalité manifeste. Il ne fait par ailleurs aucun doute que les textes pertinents étaient accessibles à la requérante. La Cour en déduit que l’ingérence dans l’exercice des droits de l’intéressée garantis par l’article 10 § 1 de la Convention était prévue par la loi. b) Sur le but poursuivi 58. La Cour relève que l’ingérence en question visait à protéger la vie privée de T.P. et la bonne administration de la justice. Elle peut donc considérer que la mesure en question poursuivait des buts légitimes énumérés à l’article 10 § 2 de la Convention, en l’occurrence la protection de la réputation et des droits d’autrui (comparer avec Tierbefreier e.V. , précité, § 49) et la garantie de l’autorité et de l’impartialité du pouvoir judiciaire (comparer avec Du Roy et Malaurie c. France , n o 34000/96, § 25, CEDH 2000-X). La Cour relève que le premier de ces buts fait écho au droit au respect de la vie privée, garanti par l’article 8 de la Convention. c) Sur la nécessité de l’ingérence Principes généraux 59. Les principes généraux à appliquer pour apprécier la nécessité d’une ingérence dans l’exercice de la liberté d’expression ont été maintes fois réaffirmés par la Cour et ont été résumés, par exemple, dans l’arrêt Sanchez (précité, § 145). 60. La Cour réaffirme que, dans des affaires telles que celle ici examinée, où des droits protégés par l’article 8 de la Convention ont été supposément enfreints du fait de l’exercice par autrui du droit à la liberté d’expression, il n’existe aucun rapport de subordination entre les droits garantis par les articles 8 et 10 de la Convention et qu’elle attache beaucoup de poids au fait que les autorités internes ont établi l’existence de droits contradictoires et la nécessité de ménager un juste équilibre entre eux ( Aksu c. Turquie [GC], n os 4149/04 et 41029/04, §§ 63 et 66, CEDH 2012). Dans sa jurisprudence, elle a eu l’occasion d’identifier les critères pertinents pour la mise en balance du droit à la liberté d’expression et du droit au respect de la vie privée, lesquels sont les suivants : la contribution à un débat d’intérêt général ; la notoriété de la personne visée et l’objet de la publication ; le comportement antérieur de la personne concernée ; le mode d’obtention des informations et leur véracité ; le contenu, la forme et les répercussions de la publication ; le contexte dans lequel la publication litigieuse a été faite ; et la nature et la gravité de la sanction imposée (voir, par exemple, Khural et Zeynalov c. Azerbaïdjan (n o 2) , n o 383/12, § 45, 19 janvier 2023, et les affaires qui sont citées). La Cour recherche si les critères ainsi définis peuvent être transposés à chacune des affaires dont elle est saisie, et si certains d’entre eux peuvent revêtir plus ou moins de pertinence eu égard aux circonstances particulières de l’espèce ( Satakunnan Markkinapörssi Oy et Satamedia Oy c. Finlande [GC], n o 931/13, § 166, 27 juin 2017). 61. La Cour rappelle également que l’expression d’idées se rapportant à un sujet d’intérêt général bénéficie d’un niveau élevé de protection. Les États défendeurs ne disposent alors que d’une marge d’appréciation restreinte (voir, par exemple, Baka c. Hongrie [GC], n o 20261/12, § 159, 23 juin 2016, et les affaires qui y sont citées). 62 . En outre, lorsqu’elle analyse l’ingérence dans le droit à la liberté d’expression, la Cour doit, entre autres, déterminer si les motifs invoqués par les autorités nationales pour la justifier apparaissent « pertinents et suffisants » ( Gaspari c. Arménie (n o 2) , n o 67783/13, § 26, 11 juillet 2023 ). Pour évaluer la pertinence et la suffisance des conclusions retenues par les juridictions nationales, la Cour, conformément au principe de subsidiarité, prend en considération la manière dont ces dernières ont effectué la mise en balance des intérêts contradictoires en jeu à la lumière de sa jurisprudence bien établie en la matière ( Bouton c. France , n o 22636/19, § 45, 13 octobre 2022). Elle a déjà jugé par le passé qu’une absence de contrôle juridictionnel effectif pouvait justifier un constat de violation de l’article 10 de la Convention. En effet, ainsi qu’elle l’a déclaré dans le contexte de cette disposition, « [l]a qualité de l’examen (...) judiciaire de la nécessité de la mesure (...) revêt une importance particulière (...), y compris pour ce qui est de l’application de la marge d’appréciation pertinente » ( Baka , précité, § 161, et les affaires qui y sont citées). 63 . De plus, la Cour a égard au fait qu’Internet est aujourd’hui devenu l’un des principaux moyens d’exercice de la liberté d’expression, en ce qu’il fournit des outils essentiels pour la participation à des activités et des discussions concernant des questions politiques et des débats d’intérêt général ( Vladimir Kharitonov c. Russie , n o 10795/14, § 33, 23 juin 2020, et Melike c. Turquie , n o 35786/19, § 49 in fine , 15 juin 2021). Elle a considéré, en particulier, que les sites Internet contribuent grandement à améliorer l’accès du public à l’actualité et, de manière générale, à faciliter la diffusion de l’information et que, dans ce contexte, la fonction des blogueurs et des utilisateurs populaires des médias sociaux peut aussi être assimilée à celle de « chien de garde public » en ce qui concerne la protection offerte par l’article 10 de la Convention ( Magyar Helsinki Bizottság c. Hongrie [GC], n o 18030/11, § 168, 8 novembre 2016). 64. Cependant, les avantages de cet outil d’information, réseau électronique desservant des milliards d’usagers partout dans le monde, s’accompagnent d’un certain nombre de risques : les sites Internet sont des outils d’information et de communication qui se distinguent particulièrement de la presse écrite, notamment quant à leur capacité à emmagasiner et à diffuser l’information, et les communications en ligne et leur contenu risquent bien plus que la presse écrite de porter atteinte à l’exercice et à la jouissance des droits et libertés fondamentaux, en particulier du droit au respect de la vie privée ( Société Éditrice de Mediapart et autres c. France , n os 281/15 et 34445/15, § 88, 14 janvier 2021, M.L. et W.W. c Allemagne , n os 60798/10 et 65599/10, § 91, 28 juin 2018, Cicad c. Suisse , n o 17676/09, § 59, 7 juin 2016, et Comité de rédaction de Pravoye Delo et Shtekel c. Ukraine , n o 33014/05, § 63, CEDH 2011 (extraits)). 65. La Cour a en outre souvent souligné que le pluralisme et la démocratie reposent sur la reconnaissance et le respect véritables de la diversité, et qu’une interaction harmonieuse entre personnes et groupes ayant des identités différentes est essentielle à la cohésion sociale. Elle a également jugé à maintes reprises que les États ont l’obligation positive d’assurer la jouissance effective des droits et libertés garantis par la Convention, et pareille obligation revêt une importance particulière pour les personnes dont les opinions sont impopulaires ou qui appartiennent à des minorités, du fait qu’elles sont plus exposées aux brimades ( Beizaras et Levickas , précité, §§ 107 et 108). Application en l’espèce des principes généraux pertinents 66. La Cour note qu’il y a eu deux procédures parallèles concomitantes relatives à la diffusion par la requérante des vidéos avec T.P. La première s’est déroulée devant les juges administratifs et concernait l’obligation faite à la requérante de supprimer les enregistrements litigieux de sa page Facebook, et la seconde portait sur le fait de savoir si, en publiant ces vidéos, l’intéressée a commis des actes réprimés par le code contraventionnel. 67 . La Cour prête d’emblée une attention particulière au fait que les tribunaux ayant tranché l’affaire contraventionnelle de la requérante ont retenu l’existence en l’espèce de droits contradictoires, et qu’après avoir procédé à la mise en balance des différents intérêts en jeu protégés par des droits concurrents énoncés aux articles 8 et 10 de la Convention, ils ont estimé que le droit de la requérante à la liberté d’expression l’emportait. Elle prend note des conclusions suivantes opérées par ces tribunaux : les vidéos révélaient des actes homophobes commis à la veille de la marche des fiertés, à l’encontre d’une personnalité connue pour ses activités de défense des minorités sexuelles ; l’affaire a suscité une vive réaction dans la société ; les vidéos contribuaient à un débat d’intérêt général et étaient un moyen de sensibiliser le public sur le problème de l’intolérance envers les minorités LGBTQ+ et sur la dangerosité des propos et agissements homophobes ; il existait un consensus européen sur la nécessité de lutter contre les actes et propos homophobes ; la requérante avait dès lors agi dans les limites de son droit garanti par l’article 10 de la Convention afin de protéger les droits de la communauté LGBTQ+ (paragraphe 26 ci-dessus). La Cour relève que cette analyse, qui d’ailleurs ne fait pas partie de l’objet de l’affaire, traduit une approche différente de celle suivie par les juges administratifs. 68. S’agissant précisément de l’autre procédure menée en parallèle, à l’égard de laquelle la requérante formule ses griefs de violation de l’article 10 de la Convention, la Cour note que les tribunaux administratifs ont estimé, d’une part, que les vidéos litigieuses relevaient d’un conflit entre voisins dépourvu de tout intérêt public et que leur diffusion risquait d’entraîner des conséquences négatives sur la vie privée de T.P. et, d’autre part, que la requérante n’était pas en droit de rendre publiques lesdites vidéos alors que la procédure contraventionnelle contre T.P. était pendante. 69. La Cour est d’avis que, pour parvenir auxdites conclusions et à la différence des juges en charge de la procédure contraventionnelle, les juridictions administratives n’ont pas effectué une mise en balance des intérêts protégés par les droits en jeu conforme aux critères énoncés dans sa jurisprudence, et qu’elles n’ont pas davantage examiné la nécessité de l’ingérence dans le droit à la liberté d’expression de la requérante. Pareil défaut de mise en balance des intérêts concurrents est en lui-même problématique au regard de l’article 10 de la Convention (paragraphe 62 ci ‑ dessus) (voir, pour un exemple contraire, Bouton , précité, §§ 59-60, où la Cour a jugé que les juridictions nationales n’avaient pas à procéder à la mise en balance entre deux libertés garanties par la Convention). 70. En effet, la Cour constate, tout d’abord, que les juges administratifs n’ont pris compte ni la teneur des propos de T.P., qui étaient violents, licencieux et homophobes, ni le contexte dans lequel ils avaient été prononcés. Or et à l’instar des juges en charge de la procédure contraventionnelle, elle rappelle que les faits ont eu lieu pendant la semaine des fiertés qui se déroulait à Chișinău et qui devait s’achever par une marche des fiertés, manifestation dont la requérante avait contribué à l’organisation, et que l’intéressée était une militante connue pour défendre les droits de la communauté LGBTQ+. Compte tenu de ces éléments et notamment en prenant en compte les conclusions factuelles des juges en charge de la procédure contraventionnelle (paragraphes 26 et 67 ci-dessus), la Cour considère que les propos de T.P. s’analysaient en des actes homophobes et qu’ils véhiculaient un message catégorique d’intolérance et de haine à l’égard d’un groupe tout entier, à savoir les minorités sexuelles (voir Conseil national de la jeunesse de Moldova , précité, § 69, pour un rappel des facteurs à prendre en compte pour déterminer si l’on est en présence d’un discours de haine). Elle relève ensuite que le comportement agressif de T.P. ainsi que ses attaques verbales ont perduré pendant plusieurs jours, malgré la plainte que la requérante avait déposée auprès de la police dès le 15 mai 2017, et que rien n’indique que ces agissements aient été provoqués d’une quelconque manière par l’intéressée. La Cour en déduit que les agissements en question constituaient en l’espèce, en toute vraisemblance, une agression verbale homophobe gratuite en raison des activités de la requérante et de son orientation sexuelle supposée. 71. Pour toutes ces raisons, la conclusion des tribunaux administratifs selon laquelle l’incident était un conflit privé dépourvu de tout intérêt public semble privée de base solide. Sur ce point, la Cour prend note des constats du tribunal de Chișinău ayant tranché l’affaire contraventionnelle de la requérante selon lesquels les vidéos litigieuses ont été relayées par les médias et ont suscité de vives réactions dans la société (paragraphe 26 ci-dessus). Elle est d’avis que le rôle de l’intéressée, qui était une avocate et militante des droits LGBTQ+ connue dont la page Facebook était vraisemblablement suivie par un nombre important de personnes, peut être assimilé dans les circonstances de l’espèce à celui de « chien de garde public » en ce qui concerne la protection offerte par l’article 10 de la Convention (paragraphe 63 ci-dessus). 72. Dans ces conditions, la Cour déplore le fait que les tribunaux administratifs aient donné un poids déterminant au droit de T.P. au respect de sa vie privée sans aucunement prendre en considération le droit de la requérante à la liberté d’expression. 73. Dans le même sens, elle constate que les tribunaux en question ont interprété les dispositions de l’article 451 du code administratif comme interdisant de manière absolue et inconditionnelle la divulgation des éléments d’une affaire contraventionnelle, sans prendre en compte le droit de la requérante d’informer le public sur un sujet qui, bien que concernant une affaire contraventionnelle en cours, était d’intérêt public (comparer avec Du Roy et Malaurie , précité, § 35). 74 . En ce qui concerne, enfin, la gravité de l’ingérence, la Cour note que la requérante s’est vu ordonner de supprimer les vidéos avec T.P. de sa page Facebook environ un an après les événements litigieux et que, dans l’intervalle, elle a pu exercer son droit à la liberté d’expression et le public a pu être informé des agissements de T.P. La Cour observe également que la procédure contraventionnelle dirigée contre l’intéressée pour les mêmes faits a été clôturée. 75. Cela étant, eu égard en particulier à l’absence d’examen approfondi de l’affaire par les juges administratifs, qui n’ont pas dûment tenu compte de l’importance du droit à la liberté d’expression dans le cadre d’un débat sur un sujet d’intérêt public, la Cour considère que les instances internes n’ont pas ménagé un juste équilibre entre les différents droits en jeu dans la présente affaire. Elle en conclut que les tribunaux administratifs n’ont pas fourni de raisons pertinentes et suffisantes pour justifier l’ingérence dans le droit de la requérante à la liberté d’expression. 76. Partant, il y a eu violation de l’article 10 de la Convention. SUR L’APPLICATION DE L’ARTICLE 41 DE LA CONVENTION 77.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78. La requérante demande 20 000 euros (EUR) pour dommage moral. 79. Le Gouvernement considère que le montant réclamé est excessif et non étayé. Il soutient qu’en tout état de cause, aucun dédommagement ne devrait être alloué en l’espèce. 80. La Cour rappelle que les situations où le requérant a subi un traumatisme évident, physique ou psychologique, des douleurs et souffrances, de la détresse, de l’angoisse, de la frustration, des sentiments d’injustice ou d’humiliation, une incertitude prolongée, une perturbation dans sa vie ou une véritable perte de chances peuvent être distinguées de celles où la reconnaissance publique, dans un arrêt contraignant pour l’État contractant, du préjudice subi par le requérant représente en elle-même une forme adéquate de réparation. Dans certaines situations, le constat par la Cour de la non-conformité aux normes de la Convention d’une loi, d’une procédure ou d’une pratique est suffisant pour redresser la situation. Ces éléments ne se prêtent pas à un calcul ou à une quantification précise. La Cour est guidée par le principe de l’équité, qui implique avant tout une certaine souplesse et un examen objectif de ce qui est juste, équitable et raisonnable, compte tenu de l’ensemble des circonstances de l’affaire, c’est-à-dire non seulement de la situation du requérant, mais aussi du contexte général dans lequel la violation a été commise ( Molla Sali c. Grèce (satisfaction équitable) [GC], n o 20452/14, § 33, 18 juin 2020). 81. Eu égard à ces principes et aux circonstances particulières de la présente affaire, la Cour, prenant notamment en compte le caractère limité de l’ingérence dans les droits de l’intéressée (paragraphe 74 ci-dessus – voir, par exemple, Cano Moya c. Espagne , n o 3142/11, § 58, 11 octobre 2016), estime que le constat de violation constitue en lui-même une satisfaction équitable suffisante pour tout dommage moral subi par la requérante. 82. La Cour observe en outre qu’aucune demande au titre des frais et dépens n’a été formulée par la requérante. Il n’y a donc pas lieu de lui octroyer une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