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9862/82 vom 21. Oktober 1986</w:t>
      </w:r>
    </w:p>
    <w:p>
      <w:r>
        <w:t>Ecthr Chamber, 1986-10-21, FR</w:t>
      </w:r>
    </w:p>
    <w:p>
      <w:r>
        <w:rPr>
          <w:b/>
        </w:rPr>
        <w:t xml:space="preserve">Quelle: </w:t>
      </w:r>
      <w:r>
        <w:t>https://mcp.opencaselaw.ch/entscheid/ecthr_chamber_9862_82</w:t>
      </w:r>
    </w:p>
    <w:p>
      <w:r>
        <w:t>FR: ECTHR_CHAMBER 9862/82 du 21 octobre 1986</w:t>
      </w:r>
    </w:p>
    <w:p>
      <w:r>
        <w:t>IT: ECTHR_CHAMBER 9862/82 del 21 ottobre 1986</w:t>
      </w:r>
    </w:p>
    <w:p>
      <w:pPr>
        <w:pStyle w:val="Heading2"/>
      </w:pPr>
      <w:r>
        <w:t>Regeste</w:t>
      </w:r>
    </w:p>
    <w:p>
      <w:r>
        <w:t>Violation de l'Art. 5-4;Remboursement frais et dépens - procédure de la Convention; Violation: 5;5-4</w:t>
      </w:r>
    </w:p>
    <w:p>
      <w:pPr>
        <w:pStyle w:val="Heading2"/>
      </w:pPr>
      <w:r>
        <w:t>Erwägungen</w:t>
      </w:r>
    </w:p>
    <w:p>
      <w:r>
        <w:rPr>
          <w:b/>
        </w:rPr>
        <w:t>E. 42</w:t>
      </w:r>
    </w:p>
    <w:p>
      <w:r>
        <w:t>Le requérant invoque l’article 5 par. 4 (art. 5-4) de la Convention, ainsi libellé: "Toute personne privée de sa liberté par arrestation ou détention a le droit d’introduire un recours devant un tribunal, afin qu’il statue à bref délai sur la légalité de sa détention et ordonne sa libération si la détention est illégale." Ni les modalités ni la longueur de la procédure d’examen de ses demandes d’élargissement des 25 janvier et 21 mai 1982 n’auraient répondu aux exigences de la disposition précitée; celle du 9 novembre 1981 n’entre pas en ligne de compte puisqu’il l’a retirée (paragraphe 22 ci-dessus). A. Modalités de la procédure</w:t>
      </w:r>
    </w:p>
    <w:p>
      <w:r>
        <w:rPr>
          <w:b/>
        </w:rPr>
        <w:t>E. 43</w:t>
      </w:r>
    </w:p>
    <w:p>
      <w:r>
        <w:t>M. Sanchez-Reisse allègue que le système suisse de recours contre une détention extraditionnelle n’offrait pas, à l’époque, des garanties suffisantes au regard de l’article 5 par. 4 (art. 5-4). 1. Impossibilité de saisir directement un tribunal</w:t>
      </w:r>
    </w:p>
    <w:p>
      <w:r>
        <w:rPr>
          <w:b/>
        </w:rPr>
        <w:t>E. 44</w:t>
      </w:r>
    </w:p>
    <w:p>
      <w:r>
        <w:t>En premier lieu, il se plaint de n’avoir pu saisir immédiatement un tribunal. Obligé, comme toute personne détenue à titre extraditionnel, de s’adresser d’abord à un organe administratif, il n’aurait pas joui d’un accès direct à l’autorité judiciaire habilitée à statuer sur sa demande de mise en liberté provisoire. La Commission trouve "frappant" qu’un juge ne prenne connaissance d’une telle demande qu’une fois accompagnée des commentaires de l’exécutif, lequel par hypothèse n’a pas accordé l’élargissement. Pour le Gouvernement, au contraire, rien n’empêche les États contractants de réglementer l’accès à la justice dès lors que les mesures adoptées tendent à une bonne administration de cette dernière.</w:t>
      </w:r>
    </w:p>
    <w:p>
      <w:r>
        <w:rPr>
          <w:b/>
        </w:rPr>
        <w:t>E. 45</w:t>
      </w:r>
    </w:p>
    <w:p>
      <w:r>
        <w:t>M. Sanchez-Reisse ayant déclaré s’opposer à son extradition, seul le Tribunal fédéral avait compétence pour se prononcer sur la mise en liberté (article 25 de la loi de 1892 - paragraphe 35, troisième alinéa, ci-dessus). Il constituait juridiquement l’unique destinataire du recours, mais la pratique - consacrée depuis lors par la loi de 1981 (paragraphe 38 ci-dessus) - voulait que l’Office reçût au préalable ce dernier pour l’instruire et exprimer un "préavis" à son sujet. Aux yeux de la Cour, pareille intervention n’a pas entravé l’accès du requérant au Tribunal ni limité le contrôle de celui-ci. En outre, elle peut répondre à un souci légitime: comme l’extradition met en jeu, par sa nature même, les relations internationales de l’État, on conçoit que l’exécutif ait l’occasion de se prononcer sur une mesure propre à exercer une influence dans un domaine aussi délicat. 2. Impossibilité d’assumer soi-même sa défense</w:t>
      </w:r>
    </w:p>
    <w:p>
      <w:r>
        <w:rPr>
          <w:b/>
        </w:rPr>
        <w:t>E. 46</w:t>
      </w:r>
    </w:p>
    <w:p>
      <w:r>
        <w:t>Le requérant formule un deuxième grief, relatif à l’impossibilité d’assumer soi-même sa défense, la nature exclusivement écrite de la procédure exigeant l’intervention d’un avocat. Selon lui, un détenu doit pouvoir contrôler l’activité de ce dernier, notamment en assistant aux débats, d’autant qu’il peut s’agir d’un conseil désigné par l’Office fédéral de la police. Le Gouvernement se borne à déclarer que la Convention ne confère nullement un droit absolu de se défendre seul car l’absence d’un membre du barreau pourrait, dans certains cas, nuire à l’intéressé. La Commission, elle, ne se prononce pas.</w:t>
      </w:r>
    </w:p>
    <w:p>
      <w:r>
        <w:rPr>
          <w:b/>
        </w:rPr>
        <w:t>E. 47</w:t>
      </w:r>
    </w:p>
    <w:p>
      <w:r>
        <w:t>Selon la Cour, l’allégation du requérant - qui du reste a choisi lui-même son avocat - ne résiste pas à l’examen. Elle ne trouve aucune base dans le texte même de l’article 5 par. 4 (art. 5-4). De plus, elle perd de vue qu’en prescrivant l’aide d’un avocat le droit suisse offre une importante garantie à la personne visée par une procédure d’extradition. En effet, le détenu est par définition étranger au pays en cause, donc souvent peu familier du système judiciaire de ce dernier. M. Sanchez-Reisse n’a d’ailleurs fourni aucun élément de nature à montrer que ses connaissances juridiques lui permettaient de présenter par écrit et efficacement ses recours. 3. Impossibilité de répliquer au préavis de l’Office fédéral de la police et de comparaître en personne devant un tribunal</w:t>
      </w:r>
    </w:p>
    <w:p>
      <w:r>
        <w:rPr>
          <w:b/>
        </w:rPr>
        <w:t>E. 48</w:t>
      </w:r>
    </w:p>
    <w:p>
      <w:r>
        <w:t>M. Sanchez-Reisse prétend aussi qu’il aurait dû pouvoir répliquer au "préavis" de l’Office, négatif par nature puisque sa seule existence présuppose, de la part de l’autorité administrative, un refus d’accorder la levée d’écrou. Il se plaint en même temps de n’avoir pu comparaître, de plein droit ou à sa requête, devant un tribunal pour plaider la cause de son élargissement. Là se situerait l’origine de l’aggravation de son état de santé, motif principal de ses demandes. L’absence de tout contact avec un juge méconnaîtrait la substance même de l’habeas corpus. Elle serait d’autant plus pénible que la détention extraditionnelle offre à l’intéressé moins de repères qu’une détention provisoire ordinaire: se bornant à vérifier la réunion des conditions du traité, le juge de l’extradition n’a pas, en Suisse, à contrôler le bien-fondé de l’accusation.</w:t>
      </w:r>
    </w:p>
    <w:p>
      <w:r>
        <w:rPr>
          <w:b/>
        </w:rPr>
        <w:t>E. 49</w:t>
      </w:r>
    </w:p>
    <w:p>
      <w:r>
        <w:t>Selon le Gouvernement, le "préavis" constitue le pendant des motifs avancés par le détenu à l’appui de sa demande de libération, de sorte qu’il y aurait égalité des armes. D’autre part, il n’existerait pas de droit à une comparution personnelle. Préconisant une interprétation systématique de l’article 5 (art. 5), le Gouvernement souligne notamment un contraste entre les paragraphes 3 et 4 (art. 5-3, art. 5-4); il invoque à cet égard la jurisprudence de la Cour, en particulier les arrêts Winterwerp du 24 octobre 1979 et X contre Royaume-Uni du 5 novembre 1981. D’après lui, la privation de liberté d’une personne soumise à une procédure d’extradition s’analyse en une mesure d’entraide internationale, ce qui relègue au second plan les circonstances propres à l’individu.</w:t>
      </w:r>
    </w:p>
    <w:p>
      <w:r>
        <w:rPr>
          <w:b/>
        </w:rPr>
        <w:t>E. 50</w:t>
      </w:r>
    </w:p>
    <w:p>
      <w:r>
        <w:t>D’après le délégué de la Commission, en communiquant au Tribunal fédéral la demande l’Office marque son hostilité à l’élargissement et peut en détailler tout à loisir les raisons. Même si l’intéressé réussit à obtenir une copie du "préavis", il ne se trouverait pas en mesure d’y répondre; son droit d’être entendu s’épuiserait en pratique dans la présentation de sa demande. Faute d’autoriser une réplique, le système litigieux aboutirait à des situations déséquilibrées; il n’assurerait pas le "minimum de contradictoire" voulu par l’article 5 par. 4 (art. 5-4). En revanche, le délégué estime qu’une procédure entièrement écrite peut remplir les exigences de l’article 5 par. 4 (art. 5-4) si l’intéressé bénéficie de l’assistance d’un avocat et a la faculté de contester la légalité de sa détention devant les juridictions compétentes. Selon lui, la comparution du requérant devant le Tribunal fédéral ne s’imposait pas. 51. Aux yeux de la Cour, l’article 5 par. 4 (art. 5-4) commandait en l’espèce d’assurer à M. Sanchez-Reisse, d’une manière ou d’une autre, le bénéfice d’une procédure contradictoire. Offrir au requérant la possibilité de commenter par écrit le "préavis" de l’Office eût constitué un moyen approprié; or rien ne prouve qu’elle lui ait été ouverte. Sans doute avait-il déjà indiqué dans sa demande les circonstances lui paraissant justifier son élargissement, mais une telle mention ne procurait pas à elle seule l’indispensable "égalité des armes" car le "préavis" pouvait introduire ensuite des éléments de fait ou de droit appelant, de la part du détenu, des réactions, des critiques, voire des questions dont le Tribunal fédéral devait pouvoir prendre connaissance avant de se prononcer. La réponse du requérant ne devait cependant pas nécessairement revêtir une forme écrite: une comparution personnelle devant la haute juridiction eût elle aussi permis d’atteindre le résultat voulu par l’article 5 par. 4 (art. 5-4). La possibilité pour le détenu "d’être entendu lui-même ou, au besoin, moyennant une certaine forme de représentation" (arrêt Winterwerp précité, série A n o 33, p. 24, par. 60) figure dans certains cas parmi les "garanties fondamentales de procédure appliquées en matière de privation de liberté" (arrêt De Wilde, Ooms et Versyp du 18 juin 1971, série A n o 12, p. 41, par. 76). Malgré la différence de rédaction entre les paragraphes 3 (droit d’être traduit devant un juge ou un autre magistrat) et 4 (droit d’introduire un recours devant un tribunal) de l’article 5 (art. 5-3, art. 5-4), la jurisprudence de la Cour relative à ces deux clauses a tendu jusqu’ici à reconnaître la nécessité d’une audition par l’autorité judiciaire (voir entre autres, outre l’arrêt Winterwerp précité, l’arrêt Schiesser du 4 décembre 1979, série A n o 34, p. 13, par. 30-31). Elle ne concernait pourtant que des hypothèses relevant des alinéas c) et e) in fine du paragraphe 1 (art. 5-1-c, art. 5-1-e). Or "les modalités de la procédure voulue par la Convention ne doivent (...) pas nécessairement être identiques dans chacun des cas où celle-ci requiert l’intervention d’un tribunal" (arrêt De Wilde, Ooms et Versyp, précité, série A n o 12, pp. 41-42, par. 78). En l’espèce, le Tribunal fédéral a été amené à prendre en considération la dégradation de l’état de santé du requérant, ce qui aurait pu militer en faveur d’une comparution personnelle, mais il disposait des certificats médicaux joints à la troisième demande de mise en liberté provisoire (paragraphe 28 ci-dessus). Rien ne donne à penser que la présence de l’intéressé aurait pu convaincre les magistrats de la nécessité de le libérer. Il n’en demeure pas moins que M. Sanchez-Reisse n’a pas joui d’une procédure réellement contradictoire. 4. Récapitulation 52. En résumé, la procédure suivie dans les deux cas litigieux n’a pas, si on la considère dans son ensemble, pleinement satisfait aux garanties de l’article 5 par. 4 (art. 5-4) . B. Longueur de la procédure 53. Avant de contrôler le respect du "bref délai", il convient de déterminer la durée des instances en cause. 1. Périodes à prendre en considération 54. En ce qui concerne le début des périodes à considérer, le requérant soutient qu’elles ont commencé avec la présentation à l’Office de ses demandes de mise en liberté provisoire. Pour le Gouvernement au contraire, seule entre en ligne de compte la procédure suivie devant le Tribunal fédéral. Avec la Commission, la Cour note que la saisine de l’Office ouvre la phase administrative de l’instance et constitue le préalable de l’exercice par le Tribunal de la "vérification juridictionnelle de la légalité de la mesure" (arrêt De Wilde, Ooms et Versyp, précité, série A n o 12, p. 40, par. 76). Il y a donc lieu de retenir en l’espèce les 25 janvier et 21 mai 1982. Quant au terme desdites périodes, il se place respectivement aux 25 février et 6 juillet 1982, dates du rejet des demandes (paragraphes 26 et 31 ci-dessus). Au total, les durées à examiner atteignent ainsi trente et un jours dans un cas et quarante-six dans l’autre. 2. Observation du "bref délai" 55. Il reste à rechercher si elles correspondent au "bref délai" exigé par l’article 5 par. 4 (art. 5-4). Aux yeux de la Cour, pareille notion ne peut se définir in abstracto, mais doit - comme pour le "délai raisonnable" des articles 5 par. 3 et 6 par. 1 (art. 5-3, art. 6-1) (jurisprudence constante) - s’apprécier à la lumière des circonstances de chaque affaire. 56. A cet égard, le Gouvernement invoque divers éléments qui, envisagés globalement, lui paraissent propres à expliquer et excuser les durées constatées: la nature de la détention à titre extraditionnel, que l’on ne saurait guère dissocier de la procédure d’extradition; le caractère mixte - administratif puis judiciaire - de la procédure applicable et le fait que la décision sur le fond, c’est-à-dire sur la culpabilité ou l’innocence de l’intéressé, émanera en principe d’une juridiction étrangère; en l’espèce, de plus, la tardiveté des demandes d’élargissement; les motifs justifiant la poursuite de la détention, tels que la gravité des faits reprochés et les risques de fuite; la complexité de la question de l’extradition; l’état d’avancement de la procédure relative à cette dernière; les liens entre le cas du requérant et ceux de ses complices; la différence d’enjeu, pour M. Sanchez-Reisse, entre l’issue de son opposition à l’extradition et le sort de ses demandes de mise en liberté provisoire. 57. Certes, la question de l’extradition formait l’arrière-plan des demandes d’élargissement et jouait nécessairement un rôle dans l’appréciation de l’Office puis du Tribunal fédéral. De plus, en la matière la détention constitue la règle et la libération l’exception dès lors que l’extradition réclamée par un État étranger ne paraît pas d’emblée inacceptable aux autorités du pays où se trouve l’intéressé. Il n’en demeure pas moins que le requérant avait droit à une décision à bref délai - positive ou négative - sur la légalité de sa privation de liberté. Les arrêts des 25 février et 6 juillet 1982 montrent d’ailleurs clairement que le Tribunal fédéral a limité son examen aux requêtes litigieuses: après un exposé succinct des faits, il a soupesé les risques du maintien en détention de M. Sanchez-Reisse et ceux de sa libération provisoire. Rien ne porte à croire qu’il s’agissait là d’un problème complexe, nécessitant des investigations approfondies et méritant une longue étude. Bien plus, si l’état de santé de l’intéressé était assurément inséparable d’autres considérations, celles-ci ressortaient aisément d’un dossier à l’instruction depuis environ un an. 58. A ces remarques qui valent pour les deux procédures s’en ajoutent d’autres, propres à chacune d’elles. 59. Dans le cas de la deuxième demande - la première, retirée par le requérant (paragraphe 22 ci-dessus), n’entre pas en ligne de compte -, la Commission relève - et le Gouvernement ne conteste pas - que le seul élément nouveau résidait dans l’état de santé de M. Sanchez-Reisse (paragraphe 23 ci-dessus). Or cette question avait donné lieu à une courte instruction pendant laquelle l’Office avait pris contact avec le service médical de la prison de Champ-Dollon, de sorte que l’autorité compétente pouvait se prononcer promptement. Il a néanmoins fallu vingt et un jours à l’Office, puis dix au Tribunal fédéral, soit trente et un en tout. La Cour estime injustifié un tel laps de temps. 60. Quant à la troisième demande, l’Office l’a transmise au Tribunal fédéral sans formuler de "préavis". Bien que saisi de l’ensemble du dossier, le Tribunal, conformément à la pratique, a donc sursis à statuer jusqu’au moment où il se trouverait en possession du "préavis", ce qui a entraîné un retard de quelques jours (paragraphes 29 et 31 ci-dessus). Pour expliquer la longueur de l’instance, supérieure de moitié à celle observée la première fois, le Gouvernement avance plusieurs éléments: le Tribunal fédéral traversait une période très chargée; il se trouvait sur le point de se prononcer sur l’extradition elle-même, ce qui enlevait à l’affaire son caractère prioritaire; il ne pouvait que rejeter la requête puisqu’elle se fondait sur des motifs identiques à ceux de la précédente. La Cour n’aperçoit pas en quoi ces facteurs devaient priver M. Sanchez-Reisse de la garantie de célérité prescrite par l’article 5 par. 4 (art. 5-4) . Au demeurant, la question se révélait d’autant plus simple que l’intéressé l’avait posée en des termes semblables dans une demande antérieure. Partant, ici encore la durée en cause - vingt jours devant l’Office, puis vingt-six devant le Tribunal fédéral - a été excessive. 3. Récapitulation 61. En résumé, les intervalles écoulés entre l’introduction des requêtes et la décision les concernant ont dépassé le "bref délai" de l’article 5 par. 4 (art. 5-4). II. SUR L’APPLICATION DE L’ARTICLE 50 (art. 50) 62. Pour frais et dépens, le requérant sollicite une satisfaction équitable en vertu de l’article 50 (art. 50), ainsi libellé: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Présentée par écrit le 3 avril 1986 (paragraphe 8 ci-dessus), la demande ne porte que sur des honoraires d’avocat (5.000 FS) et des frais de déplacement et d’hôtel (1.868 FS). Dans ses commentaires du 24 avril (paragraphe 8 ci-dessus), le délégué de la Commission l’estime raisonnable. Quant au Gouvernement, il avait déposé des observations le 24 janvier 1986 (paragraphe 8 ci-dessus). Envisageant à titre purement subsidiaire l’hypothèse où la Cour constaterait une violation de la Convention, il estimait en état la question de l’application de l’article 50 (art. 50) et ne combattait pas en principe la demande de M. Sanchez-Reisse. Toutefois, il invitait la Cour à tenir compte, le cas échéant, du rejet de certains griefs et insistait pour qu’il existe un rapport entre les sommes éventuellement allouées et les montants accordés dans deux affaires antérieures concernant la Suisse (Minelli; Zimmermann et Steiner). 63. Jugeant remplies en l’occurrence les conditions qui se dégagent de sa jurisprudence (voir, notamment, l’arrêt Minelli du 25 mars 1983, série A n o 62, p. 20, par. 45), la Cour accueille la demande du requérant.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