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78635/13 vom 5. Mai 2020</w:t>
      </w:r>
    </w:p>
    <w:p>
      <w:r>
        <w:t>Ecthr Chamber, 2020-05-05, FR</w:t>
      </w:r>
    </w:p>
    <w:p>
      <w:r>
        <w:rPr>
          <w:b/>
        </w:rPr>
        <w:t xml:space="preserve">Quelle: </w:t>
      </w:r>
      <w:r>
        <w:t>https://mcp.opencaselaw.ch/entscheid/ecthr_chamber_78635_13</w:t>
      </w:r>
    </w:p>
    <w:p>
      <w:r>
        <w:t>FR: ECTHR_CHAMBER 78635/13 du 5 mai 2020</w:t>
      </w:r>
    </w:p>
    <w:p>
      <w:r>
        <w:t>IT: ECTHR_CHAMBER 78635/13 del 5 maggio 2020</w:t>
      </w:r>
    </w:p>
    <w:p>
      <w:pPr>
        <w:pStyle w:val="Heading2"/>
      </w:pPr>
      <w:r>
        <w:t>Regeste</w:t>
      </w:r>
    </w:p>
    <w:p>
      <w:r>
        <w:t>Partiellement irrecevable (Art. 35) Conditions de recevabilité;(Art. 35-3-a) Ratione materiae;Non-violation de l'article 11 - Liberté de réunion et d'association (Article 11-1 - Liberté d'association); No violation: 11;11-1</w:t>
      </w:r>
    </w:p>
    <w:p>
      <w:pPr>
        <w:pStyle w:val="Heading2"/>
      </w:pPr>
      <w:r>
        <w:t>Erwägungen</w:t>
      </w:r>
    </w:p>
    <w:p>
      <w:r>
        <w:rPr>
          <w:b/>
        </w:rPr>
        <w:t>E. 49</w:t>
      </w:r>
    </w:p>
    <w:p>
      <w:r>
        <w:t>Invoquant les articles 7, 9, 10, 11 et 14 de la Convention ainsi que l’article 1 du Protocole n o 12 à la Convention, les requérants allèguent que le refus des juridictions internes d’accueillir leur demande d’enregistrement du second d’entre eux sur la liste des partis politiques a enfreint leur droit à la liberté d’association.</w:t>
      </w:r>
    </w:p>
    <w:p>
      <w:r>
        <w:rPr>
          <w:b/>
        </w:rPr>
        <w:t>E. 50</w:t>
      </w:r>
    </w:p>
    <w:p>
      <w:r>
        <w:t>Maîtresse de la qualification juridique des faits ( Radomilja et autres c. Croatie [GC], n os 37685/10 et 22768/12, § 114 et 126, 20 mars 2018), la Cour estime approprié d’examiner les allégations des requérants sous le seul angle de l’article 11 de la Convention, qui est ainsi libellé : « 1. Toute personne a droit à la liberté de réunion pacifique et à la liberté d’association, y compris le droit de fonder avec d’autres des syndicats et de s’affilier à des syndicats pour la défense de ses intérêts. 2. L’exercice de ces droits ne peut faire l’objet d’autres restrictions que celles qui,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 Le présent article n’interdit pas que des restrictions légitimes soient imposées à l’exercice de ces droits par les membres des forces armées, de la police ou de l’administration de l’État. » Sur la recevabilité Sur l’exception du Gouvernement tirée du caractère prétendument abusif de la requête 51. Le Gouvernement invite la Cour à déclarer la requête irrecevable pour abus du droit de recours individuel, au motif que le premier requérant a omis d’informer celle-ci qu’il avait été suspendu de ses fonctions de président du comité le 8 août 2013 (paragraphe 32 ci-dessus) et qu’il n’avait donc pas qualité pour la saisir d’une requête. 52. Le premier requérant renvoie à la décision de l’assemblée générale du 25 août 2013, à la suite de laquelle il avait été rétabli dans ses fonctions de président du comité et avait été expressément autorisé à saisir la Cour de la présente requête (paragraphe 34 ci-dessus). 53. La Cour rappelle qu’une requête peut être rejetée comme étant abusive, au sens de l’article 35 § 3 de la Convention, si elle a été fondée sciemment sur des faits controuvés. Une information incomplète et donc trompeuse peut également être qualifiée d’abus du droit de recours individuel, particulièrement lorsqu’elle concerne le noyau de l’affaire et que le requérant n’explique pas de façon suffisante son manquement à divulguer les informations pertinentes ( Gross c. Suisse [GC], n o 67810/10, § 28, CEDH 2014, avec des références ultérieures). 54. En l’espèce, la Cour note que, du 8 au 25 août 2013, le premier requérant a effectivement été suspendu de ses fonctions de président du comité. Toutefois, d’après les pièces du dossier, le 25 août 2013, à la suite d’une réunion de l’assemblée générale, l’intéressé a été réélu président du comité et a obtenu un vote de confiance l’habilitant à saisir la Cour de la présente requête (paragraphe 34 ci-dessus), ce qu’il a d’ailleurs fait le 4 décembre 2013. 55. Dans ce contexte, de l’avis de la Cour, la conduite du premier requérant n’était pas de nature à la tromper sur un élément essentiel pour l’examen de la requête. Partant il convient de rejeter cette exception du Gouvernement. Sur l’exception du Gouvernement relative à la qualité de victime du second requérant 56. Le Gouvernement estime que le second requérant n’est plus victime d’une violation de l’article 11 de la Convention. Il met en avant le fait que, à la demande de C.C. – qui, selon lui, avait succédé au premier requérant à la présidence du comité –, la cour d’appel a ordonné, par son arrêt définitif du 27 juin 2016, l’enregistrement du Parti Communiste Roumain – Siècle XXI (paragraphe 41 ci-dessus). 57. Les requérants répliquent que ce dernier parti est un parti distinct de celui pour lequel le premier requérant s’est vu mandater aux fins de son enregistrement et que la seule ressemblance entre ces deux formations politiques réside dans la circonstance que toutes deux déclarent être des partis communistes. Ils indiquent qu’ils ont demandé l’enregistrement d’un nouveau parti mais qui est le continuateur en fait du PCR constitué en mai 1921, lequel avait gouverné le pays pendant environ quarante ans, avait été renversé du pouvoir par la violence et avait été mis dans l’impossibilité de fonctionner par la confiscation de tous ses biens, l’assassinat de son leader et l’arrestation de ses dirigeants. 58 . À cet égard, il convient de souligner que la question de savoir si une personne peut encore se prétendre victime d’une violation alléguée de la Convention implique essentiellement pour la Cour de se livrer à un examen ex post facto de la situation de la personne concernée. Pour ce faire, la Cour tient compte des principes déjà bien établis dans sa jurisprudence concernant la perte de la qualité de victime (voir, parmi beaucoup d’autres, Scordino c. Italie (n o 1) [GC], n o 36813/97, §§ 178 à 180, CEDH 2006 ‑ V). Plus particulièrement, la Cour réaffirme qu’une décision ou une mesure favorable au requérant ne suffit en principe à lui retirer la qualité de « victime » que si les autorités nationales ont reconnu, explicitement ou en substance, puis réparé la violation de la Convention ( Dalban c. Roumanie [GC], n o 28114/95, § 44, CEDH 1999 ‑ VI). 59 . La Cour constate que, en l’occurrence, il ressort des documents mis à sa disposition qu’il n’y a pas d’identité entre le second requérant et le Parti Communiste Roumain ‑ Siècle XXI : bien que cette dernière formation politique ait été enregistrée à la suite de l’initiative d’un ancien membre du second requérant, à savoir C.C., les deux formations politiques susmentionnées sont bien distinctes. En effet, les statuts et programmes respectifs de ces deux formations sont différents (paragraphes 36 et 38 ci ‑ dessus), et, en outre, leur position au sujet de l’ancien PCR est divergente, le Parti Communiste Roumain – Siècle XXI s’étant clairement démarqué de ce dernier dans la demande introductive d’instance présentée par C.C. et le second requérant ayant quant à lui exprimé le souhait d’être le continuateur de ce parti. 60 . Dans ces conditions, la Cour ne peut pas considérer que l’arrêt de la cour d’appel du 27 juin 2016, qui ne vise donc pas le second requérant, constitue une mesure favorable à ce dernier, de nature à remplir la première condition imposée par sa jurisprudence en la matière (paragraphe 58 ci ‑ dessus). En tout état de cause, aucune réparation n’a été offerte à l’intéressé à la suite d’un éventuel constat, même en substance, de la méconnaissance de son droit à la liberté d’association. 61. Partant, la Cour rejette l’exception du Gouvernement et estime que le second requérant peut se prétendre « victime » au sens de l’article 34 de la Convention. Autres motifs d’irrecevabilité 62. Constatant que ce grief n’est pas manifestement mal fondé ni irrecevable pour un autre motif visé à l’article 35 de la Convention, la Cour le déclare recevable. Sur le fond Observations des parties (a) Les requérants 63. Les requérants revendiquent la possibilité pour le PCR constitué en 1921 d’exister à nouveau dans le contexte historique actuel afin qu’il puisse défendre son passé et proposer des solutions aux problèmes de la société roumaine. Ils disent que le second requérant entend être le continuateur de ce parti, qui a dirigé la Roumanie jusqu’en décembre 1989, non seulement sur les plans théorique et politique, mais aussi sur le plan matériel. 64 . Estimant que le refus des juridictions nationales d’ordonner l’enregistrement du second requérant constitue une ingérence dans leur droit découlant de l’article 11 de la Convention, les requérants considèrent que les décisions des juridictions nationales sont fondées sur une interprétation erronée des documents leur ayant été soumis. Or, à leurs dires, les documents constitutifs du second requérant mentionnaient de manière expresse que ce dernier s’engageait à respecter l’ordre juridique, le pluralisme politique et la Constitution roumaine. Les requérants ajoutent que, faute d’enregistrement, le second requérant ne peut ni participer à la vie politique ni prendre part aux débats publics ni avoir accès aux ressources matérielles ayant appartenu à l’ancien PCR jusqu’en 1989 et ayant été confisquées par l’État roumain. Selon eux, la restriction de leur droit à la liberté d’association a été excessive. (b) Le Gouvernement 65 . Le Gouvernement plaide qu’il n’y a pas eu d’ingérence dans le droit à la liberté d’association des requérants dès lors que, selon lui, le second requérant a été enregistré sous la dénomination de « Parti Communiste Roumain – Siècle XXI ». 66. Pour le cas où la Cour considèrerait qu’il y a eu ingérence dans le droit à la liberté d’association des requérants, le Gouvernement soutient que la mesure en cause poursuivait un but légitime, à savoir la protection de la sécurité nationale, laquelle aurait pu être mise à mal du fait de l’émergence d’un parti communiste présentant une doctrine similaire à celle du parti qui avait gouverné le pays pendant le régime totalitaire. Il soutient également que cette mesure visait aussi à la protection de la morale et des droits d’autrui. 67. Ensuite, le Gouvernement expose que les juridictions nationales ont rejeté la demande d’enregistrement du second requérant au motif que ce dernier ne remplissait pas les conditions prévues par la loi, et ce non seulement pour des raisons liées à sa dénomination, à son programme et à sa doctrine, mais aussi pour des raisons formelles. De l’avis du Gouvernement, il était loisible aux requérants de saisir les juridictions nationales d’une nouvelle demande d’enregistrement. 68. Enfin, le Gouvernement argue que la décision des juridictions nationales de ne pas ordonner l’enregistrement du second requérant relève de la marge d’appréciation des États, compte tenu notamment de l’enjeu en cause, à savoir la sécurité nationale. Il avance que la décision contestée doit être examinée à la lumière du contexte particulier de l’histoire récente de la Roumanie. Appréciation de la Cour (a) Sur l’existence d’une ingérence 69 . La Cour constate que les positions des parties divergent sur la question de l’existence en l’espèce d’une ingérence dans le droit à la liberté d’association des requérants (paragraphes 64 et 65 ci-dessus). 70. Elle rappelle que le refus d’enregistrement d’un parti politique constitue une ingérence dans son droit à la liberté d’association ( Partidul Comunistilor (Nepeceristi) et Ungureanu c. Roumanie , n o 46626/99, § 27, CEDH 2005 ‑ I (extraits). En l’espèce, la demande des requérants tendant à l’enregistrement du second requérant en tant que parti politique a été rejetée par les juridictions nationales. En outre, comme cela a été déjà expliqué ci ‑ avant (paragraphes 59 et 60 ci-dessus), le Parti Communiste Roumain – Siècle XXI est une formation politique distincte du second requérant de sorte que son enregistrement sur la liste des partis politiques n’a pas d’incidence sur la situation de ce requérant. 71. La Cour est donc d’avis que le refus d’enregistrement du second requérant en tant que parti politique s’analyse en une ingérence dans le droit à la liberté d’association des requérants. (b) Sur la justification de l’ingérence 72. La Cour rappelle qu’une telle ingérence enfreint l’article 11 de la Convention sauf si elle est « prévue par la loi », vise un ou des buts légitimes au regard du paragraphe 2 et est « nécessaire dans une société démocratique » pour atteindre ce ou ces buts (voir, parmi beaucoup d’autres, Partidul Comunistilor (Nepeceristi) et Ungureanu , précité, § 28). (i) Sur la question de savoir si l’ingérence était « prévue par la loi » 73. La Cour note d’emblée que les juridictions internes ont fondé leurs décisions sur la loi n o 14/2003, qui permettait l’enregistrement des nouveaux partis politiques ou la réorganisation des partis politiques déjà existants (paragraphe 26 ci-dessus) et qui prévoyait les conditions à remplir pour toute demande d’enregistrement (paragraphes 26 et 30 ci-dessus). La cour d’appel a également fondé son raisonnement sur l’article 3 h) de la loi n o 51/1991 et sur les dispositions de la Constitution (paragraphe 29 ci ‑ dessus). L’ingérence avait donc une base en droit interne (paragraphes 42, 43 et 45 ci-dessus). 74. La qualité des dispositions légales susmentionnées n’étant pas mise en cause par les requérants (pour une description de la notion de « qualité de la loi », voir Magyar Kétfarkú Kutya Párt c. Hongrie [GC], n o 201/17, §§ 93 et 94, 20 janvier 2020), la Cour partira du principe que l’ingérence en question était « prévue par la loi ». (ii) Sur la poursuite d’un but légitime 75. La Cour considère que, eu égard notamment à l’expérience totalitaire qu’a connue la Roumanie, la mesure litigieuse peut passer pour avoir visé à la protection de la sécurité nationale et à la protection des droits et libertés d’autrui ( Partidul Comunistilor (Nepeceristi) et Ungureanu , précité, § 37). (iii) Sur la nécessité de l’ingérence dans une société démocratique (α) Principes généraux 76. La Cour a confirmé à plusieurs reprises le rôle primordial que les partis politiques qui jouissent des libertés et droits reconnus par l’article 11 ainsi que par l’article 10 de la Convention jouent dans un régime démocratique. Eu égard en effet au rôle des partis politiques, toute mesure prise contre eux affecte à la fois la liberté d’association et, partant, l’état de la démocratie dans le pays dont il s’agit ( Parti républicain de Russie c. Russie , n o 12976/07, § 78, 12 avril 2011). 77. Les exceptions visées à l’article 11 de la Convention appellent, à l’égard des partis politiques, une interprétation stricte, seules des raisons convaincantes et impératives pouvant justifier des restrictions à leur liberté d’association. Pour juger en pareil cas de l’existence d’une nécessité au sens de l’article 11 § 2, les États contractants ne disposent que d’une marge d’appréciation réduite, laquelle se double d’un contrôle européen rigoureux portant à la fois sur la loi et sur les décisions qui l’appliquent, y compris celles d’une juridiction indépendante ( Parti communiste unifié de Turquie et autres c. Turquie , 30 janvier 1998, § 46, Recueil des arrêts et décisions 1998 ‑ I). 78. Toutefois, les États ont le droit – sous réserve du respect de la condition de proportionnalité – d’exiger des formations politiques demandant leur enregistrement officiel qu’elles se conforment à des formalités légales raisonnables ( Organisation macédonienne unie Ilinden – PIRIN et autres c. Bulgarie (n o 2) , n os 41561/07 et 20972/08, § 83, 18 octobre 2011). Cependant, la Cour doit vérifier si une mesure apparemment neutre entravant les activités d’un parti politique a en fait pour but de pénaliser celui-ci en raison des opinions ou des politiques qu’il promeut (voir, mutatis mutandis , Parti nationaliste basque – Organisation régionale d’Iparralde c. France , n o 71251/01, § 33 in fine , CEDH 2007 ‑ II). 79. De même, un État contractant à la Convention, en se fondant sur ses obligations positives, peut imposer aux partis politiques, formations destinées à accéder au pouvoir et à diriger une part importante de l’appareil étatique, le devoir de respecter et de sauvegarder les droits et libertés garantis par la Convention ainsi que l’obligation de ne pas proposer un programme politique en contradiction avec les principes fondamentaux de la démocratie ( Refah Partisi (Parti de la prospérité) et autres c. Turquie [GC], n os 41340/98 et 3 autres, § 103, CEDH 2003 ‑ II). 80. La Cour a déjà estimé qu’un parti politique peut mener campagne en faveur d’un changement de la législation ou des structures légales ou constitutionnelles de l’État à deux conditions : 1) les moyens utilisés à cet effet doivent être en tous points légaux et démocratiques ; 2) le changement proposé doit lui-même être compatible avec les principes démocratiques fondamentaux ( Yazar et autres c. Turquie , n os 22723/93, 22724/93 et 22725/93, § 49, CEDH 2002-II, et Refah Partisi et autres , précité, § 98). 81. Enfin, la Cour n’a point pour tâche de se substituer aux juridictions internes compétentes, mais de vérifier sous l’angle de l’article 11 les décisions qu’elles ont rendues en vertu de leur pouvoir d’appréciation. Il ne s’ensuit pas que la Cour doive se borner à rechercher si l’État défendeur a usé de ce pouvoir de bonne foi, avec soin et de façon raisonnable : il lui faut considérer l’ingérence litigieuse à la lumière de l’ensemble de l’affaire pour déterminer si elle était « proportionnée au but légitime poursuivi » et si les motifs invoqués par les autorités nationales pour la justifier apparaissent « pertinents et suffisants ». Ce faisant, la Cour doit se convaincre que les autorités nationales ont appliqué des règles conformes aux principes consacrés à l’article 11, et ce, de surcroît, en se fondant sur une appréciation acceptable des faits pertinents ( Partidul Comunistilor (Nepeceristi) et Ungureanu , précité, § 49). (β) Application de ces principes au cas d’espèce 82. En l’espèce, il appartient à la Cour d’apprécier si l’ingérence litigieuse, à savoir le rejet de la demande d’enregistrement du second requérant en tant que parti politique, décidé par le tribunal départemental dans son jugement du 21 février 2013 (paragraphe 19 ci ‑ dessus) et entériné par la cour d’appel dans son arrêt définitif du 16 juillet 2013 (paragraphes 24 à 31 ci-dessus), répondait à un « besoin social impérieux » et était « proportionnée aux buts légitimes poursuivis ». 83. La Cour note d’emblée qu’il ressort de la lecture combinée des décisions rendues en l’espèce que les juridictions nationales ont motivé le rejet de la demande des requérants par deux catégories d’arguments : d’une part, la cour d’appel a fondé son arrêt sur des raisons formelles, à savoir le fait que la demande des requérants ne rentrait pas dans le cadre des hypothèses prévues par la loi pour l’enregistrement des partis politiques et ne respectait pas les conditions imposées par cette dernière pour la formulation d’une demande valide (paragraphes 26, 27 et 30 ci-dessus) ; d’autre part, les deux juridictions ont justifié leur position par des raisons liées au contenu des statuts et du programme politique du parti requérant, dont elles ont examiné la conformité aux dispositions de la loi n o 14/2003, de la loi n o 51/1991 et de la Constitution (paragraphes 19 et 29 ci-dessus). Dès lors, la Cour se penchera sur la question de la nécessité de l’ingérence litigieuse en prenant en considération pour l’essentiel les motifs de rejet retenus par les juridictions internes, qu’elle analysera successivement ci ‑ après (voir, mutatis mutandis , Parti communiste unifié de Turquie et autres , précité, § 52). ‒ Quant aux raisons formelles retenues pour justifier le refus d’enregistrement 84. S’agissant de la première catégorie d’arguments, la Cour relève, à l’instar de la cour d’appel (paragraphe 25 ci-dessus), que, bien qu’ils aient saisi les juridictions nationales d’une demande d’inscription du second requérant sur la liste des partis politiques, les requérants ne souhaitaient pas créer une nouvelle formation politique : ils entendaient reconstituer un parti qui avait eu une activité politique avant la demande d’enregistrement (voir, pour une situation différente, Partidul Comunistilor (Nepeceristi) et Ungureanu , précité, § 51, où le parti requérant était une formation politique qui n’avait pas eu d’activité politique avant sa demande d’enregistrement ; voir aussi Tsonev c. Bulgarie , n o 45963/99, § 59, 13 avril 2006). Sont pertinents à cet égard tant les statuts du parti requérant que les prises de position du premier requérant en sa qualité de président dudit parti, qui démontrent que les intéressés considéraient le second d’entre eux comme le continuateur de l’ancien PCR, qui avait gouverné la Roumanie jusqu’en décembre 1989, et que leur intention était de redonner vie à ce dernier parti (paragraphes 11, 14 et 15 ci-dessus). 85. La Cour observe ensuite que le cadre législatif mis en place par la loi n o 14/2003 prévoyait les hypothèses dans lesquelles une formation politique pouvait être inscrite sur la liste des partis politiques : soit il était question de la constitution d’une nouvelle formation politique ; soit il s’agissait d’une réorganisation, auquel cas la formation politique à restructurer devait avoir été préalablement légalement constituée (paragraphes 26 et 45 ci ‑ dessus). La loi interne prévoyait donc de manière claire et précise les hypothèses dans lesquelles une formation politique pouvait être enregistrée. 86 . Or, de l’avis de la Cour, et comme l’a constaté la cour d’appel, la demande des requérants ne rentrait dans le cadre d’aucune des hypothèses prévues par la loi pour l’enregistrement d’un parti politique : il ne s’agissait ni d’une demande d’enregistrement d’un nouveau parti ni d’une demande de réorganisation d’une formation politique qui avait été déjà légalement constituée. À ce dernier égard, la Cour observe que l’ancien PCR ne fonctionnait plus en Roumanie depuis décembre 1989 (paragraphes 46 et 47 ci-dessus) et qu’il n’est démontré par aucun des documents mis à sa disposition que ce parti avait été enregistré sur la liste des partis politiques après décembre 1989 dans le respect des dispositions légales régissant cette matière (paragraphe 44 ci-dessus). 87. La Cour note en outre qu’il existait une irrégularité, relevée par la cour d’appel, dans l’établissement du document censé attester l’authenticité des signatures des partisans du second requérant (paragraphe 30 ci-dessus). 88. La Cour considère donc que, pour débouter les requérants, la cour d’appel a tenu compte des carences constatées dans le dossier de demande d’enregistrement. Reste à savoir si, d’une part, les exigences formelles mises en avant par la cour d’appel étaient raisonnables et si, d’autre part, les conséquences du non-respect par les requérants de celles-ci étaient proportionnées (voir, en ce sens, Organisation macédonienne unie Ilinden – PIRIN et autres (n o 2) , précité, § 91). 89. Sur le premier point, s’agissant des hypothèses prévues par la loi pour l’enregistrement d’un parti politique, la Cour rappelle qu’il n’est pas déraisonnable pour un État de subordonner la formation d’un parti politique à la réalisation, dans un ordre précis, de certaines étapes qui ne sont pas indûment exagérées. Les formalités requises peuvent varier en fonction des facteurs historiques et politiques propres à chaque pays, et les États disposent d’une certaine marge d’appréciation pour les fixer. En effet, il existe une grande variété de régimes réglementaires dans ce domaine dans les différents États membres du Conseil de l’Europe (voir Organisation macédonienne unie Ilinden – PIRIN et autres (n o 2) , précité, § 92, ainsi que les documents de la Commission de Venise auxquels le paragraphe 48 ci ‑ dessus renvoie). 90. En l’espèce, il convient de tenir compte du contexte historique roumain et du fait que le premier acte normatif venu réglementer le pluralisme politique dans une société démocratique date de décembre 1989. Comme mentionné déjà plus haut (paragraphe 86 ci-dessus), le PCR n’a plus officiellement existé depuis l’instauration du régime démocratique en Roumanie. De l’avis de la Cour, il n’est pas déraisonnable, surtout dans le contexte historique de l’affaire, que la législation roumaine ne permet la reconstitution de formations politiques n’ayant jamais fonctionné légalement dans un régime démocratique. 91. S’agissant de l’obligation légale relative à la liste des signatures des partisans de la formation politique, de l’avis de la Cour, et compte tenu du but mentionné par la loi, à savoir l’attestation de l’authenticité des signatures (paragraphe 45 ci ‑ dessus), il n’est pas non plus déraisonnable, en soi, d’exiger qu’un demandeur joigne une déclaration de responsabilité de la personne ayant établi la liste des signatures en question à sa demande. 92. Sur le deuxième point, il convient de rappeler que la protection des opinions et de la liberté de les exprimer au sens de l’article 10 de la Convention constitue l’un des objectifs de la liberté d’association (voir, par exemple, Refah Partisi et autres , précité, § 88). Dans ce contexte, les conditions formelles imposées par les États pour l’inscription d’un parti politique ne doivent pas être de nature à empêcher ledit parti de promouvoir ses idées et convictions politiques. Or, en l’espèce, les exigences légales que, selon la cour d’appel, les requérants n’avaient pas respectées sont, de l’avis de la Cour, purement neutres quant à leur contenu et ne visaient pas spécifiquement le parti requérant. La Cour considère donc que cette catégorie d’arguments opposés à la demande des intéressés n’avait pas pour but de pénaliser ce parti en raison des opinions ou des politiques qu’il défendait (voir, mutatis mutandis , Parti nationaliste basque – Organisation régionale d’Iparralde c. France , n o 71251/01, § 33 in fine , CEDH 2007 ‑ II). 93. S’agissant de la condition relative à la soumission de la déclaration de responsabilité, la Cour considère que les requérants pouvaient y satisfaire en présentant une nouvelle déclaration émise par la personne chargée de l’établissement de la liste des signatures des partisans, ce qui ne constituait pas un obstacle démesuré (voir, mutatis mutandis , Organisation macédonienne unie Ilinden – PIRIN et autres (n o 2) , précité, § 94, et Mouvement pour le Royaume démocratique c. Bulgarie , n o 27608/95, décision de la Commission du 29 novembre 1995, non publiée). 94. Partant, la Cour estime que les raisons formelles opposées par la cour d’appel à l’enregistrement du second requérant sont « pertinentes et suffisantes » et « proportionnées au but légitime poursuivi ». ‒ Quant aux raisons liées au contenu des statuts et du programme politique retenues pour justifier le refus d’enregistrement 95. S’agissant ensuite de l’examen des statuts et du programme politique élaborés par les requérants, la Cour observe que, en se référant aux statuts et au programme versés au dossier, la cour d’appel a considéré que l’intention des intéressés était de promouvoir une société socialiste avec une économie de type socialiste où l’État, au nom du peuple, avait pleine autorité sur l’économie nationale (paragraphe 29 ci-dessus). De l’avis de la cour d’appel, ce projet était contraire à la Constitution, laquelle garantissait le droit à la propriété privée, le pluralisme politique et l’État de droit. Après avoir procédé à un rapprochement entre la politique menée par l’ancien PCR pendant le régime totalitaire et les statuts et le programme politique du parti requérant, le tribunal départemental et la cour d’appel ont estimé que l’intention des requérants de respecter les principes démocratiques n’était pas convaincante, et la cour d’appel a jugé les déclarations des intéressés comme purement formelles (paragraphes 19 et 29 ci-dessus). 96. La Cour rappelle ici que le fait qu’un projet politique passe pour incompatible avec les principes et structures actuels de l’État ne le rend pas en soi contraire aux règles démocratiques ( Parti socialiste de Turquie (STP) et autres c. Turquie , n o 26482/95, § 43, 12 novembre 2003, et Parti socialiste et autres c. Turquie , 25 mai 1998, § 47, Recueil 1998 ‑ III). Cela étant, l’expérience politique des États contractants a montré que, dans le passé, les partis politiques ayant des buts contraires aux principes fondamentaux de la démocratie ne les avaient dévoilés jusqu’à ce qu’ils s’approprient le pouvoir. C’est pourquoi la Cour a toujours rappelé qu’on ne saurait exclure que le programme politique d’un parti cache des objectifs et intentions différents de ceux qu’il affiche publiquement. Pour s’en assurer, il faut comparer le contenu de ce programme avec les actes et prises de position des membres et dirigeants du parti en cause ( Refah Partisi et autres , précité, § 101 ; voir, également, en ce sens, Ždanoka c. Lettonie [GC], n o 58278/00, § 120 in fine , CEDH 2006 ‑ IV). 97. En l’espèce, la Cour observe, à l’analyse des statuts et du programme politique du parti requérant, que ces textes insistent sur le respect de l’intégrité territoriale et de l’ordre juridique et constitutionnel du pays, ainsi que sur les principes de la démocratie, parmi lesquels le pluralisme politique, et qu’ils mentionnent de manière expresse l’opposition dudit parti au totalitarisme et à tout type de discrimination (paragraphes 11 et 13 ci ‑ dessus). Elle note également que ces documents ne renferment aucun passage qui puisse passer pour un appel à la violence, au soulèvement ou à toute autre forme de rejet des principes démocratiques ‑ ce qui est un élément essentiel à prendre en considération ‑ , ni aucun passage qui puisse être perçu comme un appel à la « dictature du prolétariat » (voir Parti socialiste de Turquie (STP) et autres , précité, § 45, et, a contrario , Parti communiste d’Allemagne c. République fédérale d’Allemagne , n o 250/57, décision de la Commission du 20 juillet 1957, Annuaire I, p. 222). 98. Pour déterminer si les juridictions nationales étaient fondées à affirmer que les intentions véritables des requérants étaient contraires aux principes démocratiques, la Cour doit apprécier les documents constitutifs en cause dans le contexte particulier de l’affaire (voir, mutatis mutandis , Parti socialiste de Turquie (STP) et autres , précité, § 49, et Gorzelik et autres c. Pologne [GC], n o 44158/98, § 105, CEDH 2004 ‑ I). 99. À cet égard, la Cour rappelle que le contexte historique, en l’occurrence l’expérience du communisme totalitaire en Roumanie jusqu’en 1989, ne saurait justifier à lui seul la nécessité de l’ingérence, d’autant plus que des partis communistes ayant une idéologie marxiste existent dans plusieurs pays signataires de la Convention ( Partidul Comunistilor (Nepeceristi) et Ungureanu , précité, 58). Cela étant, elle ne peut ignorer en l’espèce que les requérants ne demandaient pas la simple création d’un parti communiste ayant une idéologie marxiste (voir, a contrario , Partidul Comunistilor (Nepeceristi) et Ungureanu , précité, § 55, et Tsonev , précité, § 59). En effet, les intéressés proclamaient que le second requérant entendait être le continuateur du parti qui avait dirigé la Roumanie avant la soumission de leur demande d’enregistrement : ce parti avait gouverné le pays en imposant un régime totalitaire, lequel avait été renversé en décembre 1989, à la suite de violentes confrontations, pour faire place à un régime démocratique (paragraphe 5 ci-dessus ; voir, a contrario , Parti socialiste de Turquie (STP) et autres , précité, § 50, où le parti requérant avait été dissout avant même ses premières activités, et Tsonev , précité, § 60). Ainsi, les requérants ne se sont pas dissociés concrètement et entièrement de l’ancien PCR. Au contraire, bien qu’ayant établi des nouveaux statuts et un programme politique distinct et bien qu’ayant indiqué vouloir assumer seulement certains des actes de l’ancien PCR (paragraphe 21 ci-dessus), ils ont déclaré que le second d’entre eux entendait être le continuateur de ce dernier parti (voir, mutatis mutandis , Ždanoka , précité, § 123). 100. La Cour tient compte de ce que les autorités internes ont motivé leur refus par la mention contenue dans les statuts aux termes de laquelle le parti requérant « assum[ait] la continuité de l’expérience théorique et pratique du mouvement des travailleurs socialistes et communistes de Roumanie », après s’être livrées à une appréciation des moyens proposés pour atteindre le but du parti requérant – à savoir la mise en place d’une société socialiste fondée principalement sur la propriété socialiste des moyens de production (paragraphe 11 ci-dessus) – à la lumière des déclarations des requérants selon lesquelles le second d’entre eux entendait être le continuateur de l’ancien PCR (paragraphes 25 et 29 ci ‑ dessus). 101. La Cour observe également que des partis ayant une doctrine communiste existent en Roumanie (paragraphes 16 et 41 ci-dessus). Dès lors, le droit des requérants de se constituer en un parti politique communiste n’est pas illusoire, d’autant moins que les intéressés pourraient réaménager leurs documents constitutifs et qu’ils ont eux ‑ mêmes affirmé vouloir y parvenir avec de nouveaux statuts et ne souhaiter reprendre que les seules valeurs positives de l’ancien PCR (paragraphe 21 ci-dessus). 102. La Cour observe enfin que la cour d’appel a amplement expliqué aux requérants quelles sont les raisons qui l’ont amenée à juger que leur demande ne satisfaisait pas aux conditions prévues par la loi n o 14/2003, la loi n o 51/1991 et la Constitution et, en outre, qu’elle a démontré en quoi le programme et les statuts du parti requérant étaient contraires à l’ordre constitutionnel et juridique du pays, et notamment aux principes fondamentaux de la démocratie (paragraphes 25 à 30 ci-dessus ; voir, pour une situation différente, Partidul Comunistilor (Nepeceristi) et Ungureanu , précité, § 55). 103. Dans ce contexte très particulier, eu égard aussi à la marge d’appréciation bien que réduite dont disposent les États, la Cour considère que l’analyse des juridictions nationales quant aux statuts et au programme politique présentés par les requérants n’est pas dénuée de fondement. De l’avis de la Cour, le motif du refus d’enregistrement opposé aux intéressés résidait dans la volonté d’empêcher une formation politique qui avait gravement abusé de sa position au cours d’une longue période, en instaurant un régime totalitaire, de faire à l’avenir un mauvais usage de ses droits, et d’éviter ainsi des atteintes à la sûreté de l’État ou aux fondements d’une société démocratique (voir, mutatis mutandis , X c. Belgique , n o 8701/79, décision de la Commission du 3 décembre 1979, Décisions et rapports (DR) 18, pp. 251-252). Le refus d’enregistrement avait donc pour finalité de contrer un abus particulièrement grave, quoique seulement potentiel, de la part des intéressés, qui aurait consisté en une entorse aux principes de l’État de droit et aux fondements de la démocratie. 104. Partant, la Cour estime que les raisons liées au contenu des textes fondateurs du second requérant opposées par les juridictions nationales à l’enregistrement de ce dernier sont « pertinentes et suffisantes » et « proportionnées au but légitime poursuivi ». (c) Conclusion 105. Eu égard au fait que les autorités nationales étaient fondées à considérer que l’ingérence litigieuse répondait à un « besoin social impérieux » et que celle-ci n’était pas disproportionnée aux buts légitimes poursuivis, la Cour conclut que le refus d’enregistrement du second requérant peut passer pour avoir été « nécessaire, dans une société démocratique », au sens de l’article 11 § 2 de la Convention. 106 . Partant, il n’y a pas eu violation de l’article 11 de la Convention. SUR LA VIOLATION ALLÉGUÉE DE L’ARTICLE 6 DE LA CONVENTION 107. Les requérants se plaignent de ne pas avoir bénéficié d’une procédure équitable pour demander l’enregistrement du second requérant. Ils reprochent à la cour d’appel non seulement de s’être livrée à une interprétation erronée des éléments de preuve versés au dossier, mais aussi d’avoir qualifié la contestation formée par eux contre le jugement du tribunal départemental de « recours », et non pas d’« appel », ce qui les aurait privés d’une voie de recours ordinaire. 108. Ils invoquent l’article 6 de la Convention, qui, en ses parties pertinentes, est ainsi libellé : « Toute personne a droit à ce que sa cause soit entendue équitablement (...) par un tribunal (...), qui décidera, soit des contestations sur ses droits et obligations de caractère civil, soit du bien-fondé de toute accusation en matière pénale dirigée contre elle. » 109. La Cour constate que la procédure litigieuse ne concernait ni une contestation sur les droits et obligations de caractère civil des requérants ni une accusation en matière pénale dirigée contre eux, au sens de l’article 6 § 1 de la Convention, mais portait sur le droit du second requérant d’être enregistré comme parti politique et de mener, en tant que tel, ses activités politiques. Il s’agissait donc, par excellence, d’un droit de nature politique, qui comme tel ne relève pas de la garantie de l’article 6 § 1 de la Convention (voir, mutatis mutandis , Refah Partisi (Parti de la Prospérité) et autres c. Turquie (déc.), n os 41340/98 et 3 autres, 3 octobre 2000). Il s’ensuit que ce grief est incompatible ratione materiae avec les dispositions de la Convention au sens de l’article 35 § 3 a) et qu’il doit être rejeté en application de l’article 35 §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