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75953/16 vom 14. Januar 2020</w:t>
      </w:r>
    </w:p>
    <w:p>
      <w:r>
        <w:t>Ecthr Chamber, 2020-01-14, FR</w:t>
      </w:r>
    </w:p>
    <w:p>
      <w:r>
        <w:rPr>
          <w:b/>
        </w:rPr>
        <w:t xml:space="preserve">Quelle: </w:t>
      </w:r>
      <w:r>
        <w:t>https://mcp.opencaselaw.ch/entscheid/ecthr_chamber_75953_16</w:t>
      </w:r>
    </w:p>
    <w:p>
      <w:r>
        <w:t>FR: ECTHR_CHAMBER 75953/16 du 14 janvier 2020</w:t>
      </w:r>
    </w:p>
    <w:p>
      <w:r>
        <w:t>IT: ECTHR_CHAMBER 75953/16 del 14 gennaio 2020</w:t>
      </w:r>
    </w:p>
    <w:p>
      <w:pPr>
        <w:pStyle w:val="Heading2"/>
      </w:pPr>
      <w:r>
        <w:t>Regeste</w:t>
      </w:r>
    </w:p>
    <w:p>
      <w:r>
        <w:t>Partiellement irrecevable (Art. 35) Conditions de recevabilité;Non-violation de l'article 2 - Droit à la vie (Article 2 - Expulsion) (Conditionnel) (Iraq);Non-violation de l'article 3 - Interdiction de la torture (Article 3 - Expulsion) (Conditionnel) (Iraq);Violation de l'article 13+3 - Droit à un recours effectif (Article 13 - Recours effectif) (Article 3 - Interdiction de la torture;Expulsion);Préjudice moral - constat de violation suffisant (Article 41 - Préjudice moral;Satisfaction équitable); Violation: 3;13;13+3; No violation: 2;3</w:t>
      </w:r>
    </w:p>
    <w:p>
      <w:pPr>
        <w:pStyle w:val="Heading2"/>
      </w:pPr>
      <w:r>
        <w:t>Erwägungen</w:t>
      </w:r>
    </w:p>
    <w:p>
      <w:r>
        <w:rPr>
          <w:b/>
        </w:rPr>
        <w:t>E. 1</w:t>
      </w:r>
    </w:p>
    <w:p>
      <w:r>
        <w:t>Le droit de toute personne à la vie est protégé par la loi. La mort ne peut être infligée à quiconque intentionnellement, sauf en exécution d’une sentence capitale prononcée par un tribunal au cas où le délit est puni de cette peine par la loi. (...) » Article 3 « Nul ne peut être soumis à la torture ni à des peines ou traitements inhumains ou dégradants. » A. Sur la recevabilité 58 . Constatant que ce grief n’est pas manifestement mal fondé au sens de l’article 35 §</w:t>
      </w:r>
    </w:p>
    <w:p>
      <w:r>
        <w:rPr>
          <w:b/>
        </w:rPr>
        <w:t>E. 3</w:t>
      </w:r>
    </w:p>
    <w:p>
      <w:r>
        <w:t>de la Convention. III. SUR LA VIOLATION ALLÉGUÉE DE L’ARTICLE 8 DE LA CONVENTION 76. Les requérants se plaignent d’une atteinte au droit au respect de leur vie privée et familiale en cas d’expulsion du premier requérant vers l’Irak. Ils invoquent l’article 8 de la Convention, qui, en ses parties pertinentes, est ainsi libellé : « 1. Toute personne a droit au respect de sa vie privée et familiale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A. Thèses des parties 77 . Le Gouvernement admet qu’il y a eu ingérence dans le droit des requérants découlant de l’article 8 de la Convention, mais il estime que cette ingérence était conforme aux conditions exposées au paragraphe 2 de cet article. Ainsi, selon lui, la mesure était prévue par le code pénal, visait la préservation de la sécurité nationale et était nécessaire dans une société démocratique. Se fondant notamment sur les arrêts Üner c. Pays-Bas ([GC], n o 46410/99, CEDH 2006 ‑ XII) et Bajsultanov c. Autriche (n o 54131/10, 12 juin 2012), le Gouvernement expose que les juridictions nationales ont examiné la nécessité et la proportionnalité de l’ingérence, et qu’elles ont pris en compte des éléments pertinents tels que la nature et la gravité de l’infraction commise par l’intéressé, la solidité des liens sociaux, culturels et familiaux tissés, respectivement, avec l’Irak et avec la Roumanie, ainsi que la manière illégale dont l’intéressé était entré sur le territoire national, au moyen d’une fausse identité (paragraphe 10 ci-dessus). Par ailleurs, le Gouvernement indique que le premier requérant n’a pas noué de vrais liens sociaux dans la société roumaine, précisant à ce sujet que l’intéressé ne parle pas la langue roumaine puisqu’il a demandé à se faire assister par un interprète dans le cadre de la procédure pénale menée à son encontre et qu’il a longtemps séjourné sur le sol roumain de manière illégale et a commis des faits réprimés par le droit pénal. 78. Le Gouvernement met en doute l’effectivité de la vie familiale des requérants compte tenu du fait que les premier et cinquième requérants ont divorcé, que la garde de leurs enfants a été attribuée à la cinquième requérante et que les enfants étaient, en 2018, respectivement âgés de 11, 14 et 18 ans (paragraphes 6 et 8 ci-dessus). Le premier requérant n’aurait d’ailleurs pas fait valoir l’existence de liens affectifs profonds ni avec son ex-épouse ni avec ses enfants. 79. Le Gouvernement estime que le premier requérant demeure libre de se rendre dans un autre pays tiers qui autoriserait l’entrée sur son territoire. De plus, il indique qu’en l’espèce l’interdiction de rester sur le territoire national est d’une durée brève puisqu’elle est limitée à cinq ans. 80. Quant aux quatre autres requérants, le Gouvernement déclare qu’ils n’ont pas prouvé que leur vie familiale et leur développement normal ont été affectés par les longues périodes d’absence du premier requérant du foyer familial. Il ajoute, s’agissant des enfants, que ceux-ci ont atteint un âge où ils sont devenus plus autonomes par rapport à leurs parents, notamment la troisième requérante, qui est devenue majeure. Il considère que, en l’espèce, quand bien même la famille éprouverait des difficultés à s’installer dans un autre État, ces désagréments doivent céder le pas face au besoin de protéger la sécurité nationale. 81 . Les requérants soutiennent que, lorsqu’elles ont appliqué au premier requérant la peine complémentaire d’interdiction de l’exercice du droit de séjourner sur le territoire national, les juridictions nationales n’ont pas tenu compte des principes développés par la Cour dans les arrêts Boultif c. Suisse (n o 54273/00, § 48, CEDH 2001 ‑ IX) et Üner (précité, §§ 57-58). Le premier requérant estime que seule sa dernière condamnation pénale doit être prise en considération, et il renvoie à ses arguments relatifs à l’équité de la procédure en cause (paragraphe 98 ci-dessous). Il soutient d’ailleurs qu’il a été mis en liberté conditionnelle après avoir purgé une partie de sa peine d’emprisonnement et qu’il n’a pas continué son activité délictuelle après sa libération. Il dit que la vie familiale avec les quatre autres requérants est effective et que, bien qu’ayant divorcé, la cinquième requérante et lui ‑ même ont l’intention de se remarier dès qu’il aura obtenu un titre de séjour en Roumanie. Il ajoute que le noyau familial n’a pas été brisé, puisque ses proches l’auraient suivi lors de son expulsion en 2006 et ils lui auraient rendu visite après son placement en rétention administrative. Il dit aussi que sa mère et ses frères vivent en Roumanie, qu’il n’a pas de famille en Irak et qu’il a développé toute sa vie sociale en Roumanie, où il dit habiter depuis 1994. 82. Les quatre autres requérants exposent qu’ils n’ont pas la nationalité irakienne, qu’ils sont de religion chrétienne orthodoxe et qu’il leur est inconcevable de continuer leur vie en Irak, un pays qu’ils ne connaîtraient pas et dont ils ne partageraient pas les pratiques sociales, culturelles et religieuses. Les deuxième, troisième et quatrième requérants se plaignent que leur sécurité et leur bien-être seraient gravement affectés en Irak, en raison de leur jeune âge. La cinquième requérante allègue qu’elle n’avait pas connaissance des infractions reprochées au premier requérant au moment de la création de la relation familiale. B. Appréciation de la Cour 83. La Cour note d’abord qu’il n’est pas contesté par le Gouvernement que, si le premier requérant était expulsé par les autorités roumaines, il y aurait ingérence dans le droit des requérants au respect de leur vie privée et familiale (paragraphe 77 ci-dessus). Pareille ingérence enfreint la Convention si elle ne remplit pas les exigences du paragraphe 2 de l’article</w:t>
      </w:r>
    </w:p>
    <w:p>
      <w:r>
        <w:rPr>
          <w:b/>
        </w:rPr>
        <w:t>E. 8</w:t>
      </w:r>
    </w:p>
    <w:p>
      <w:r>
        <w:t>; il convient donc de rechercher si, en l’espèce, elle était « prévue par la loi », justifiée par un ou plusieurs buts légitimes au regard dudit paragraphe, et « nécessaire, dans une société démocratique ». 84. La Cour prend note des arguments du Gouvernement selon lesquels la peine complémentaire d’interdiction de l’exercice du droit de rester sur le territoire national était prévue par le code pénal et visait la préservation de la sécurité nationale (paragraphe 77 ci-dessus). En l’absence d’arguments contraires convaincants présentés par les requérants, la Cour souscrit à la thèse du Gouvernement. 85. Reste à déterminer si la mesure en cause était « nécessaire dans une société démocratique » et, plus précisément, si, en décidant l’expulsion du premier requérant, les autorités nationales ont ménagé un juste équilibre entre les droits des requérants au regard de la Convention, d’un côté, et les intérêts de la société, de l’autre côté ( Slivenko c. Lettonie [GC], n o 48321/99, § 113, CEDH 2003 ‑ X). La Cour rappelle que les principes généraux applicables dans des affaires d’expulsion ont été résumés dans les arrêts Udeh c. Suisse (n o 12020/09, §§ 43-45, 16 avril 2013) et Ndidi c. Royaume ‑ Uni (n o 41215/14, §§ 75-76, 14 septembre 2017). La Cour a eu l’occasion de résumer les critères devant guider les instances nationales dans de telles affaires dans l’arrêt Üner (précité, §§ 57-58). Les critères pertinents ainsi définis sont les suivants : - la nature et la gravité de l’infraction commise par le requérant ; - la durée du séjour de l’intéressé dans le pays dont il doit être expulsé ; - le laps de temps qui s’est écoulé depuis l’infraction, et la conduite du requérant pendant cette période ; - la nationalité des diverses personnes concernées ; - la situation familiale du requérant, et notamment, le cas échéant, la durée de son mariage, et d’autres facteurs témoignant de l’effectivité d’une vie familiale au sein d’un couple ; - la question de savoir si le conjoint avait connaissance de l’infraction à l’époque de la création de la relation familiale ; - la question de savoir si des enfants sont issus du mariage et, dans ce cas, leur âge ; - la gravité des difficultés que le conjoint risque de rencontrer dans le pays vers lequel le requérant doit être expulsé ; - l’intérêt et le bien-être des enfants, en particulier la gravité des difficultés que les enfants du requérant sont susceptibles de rencontrer dans le pays vers lequel l’intéressé doit être expulsé ; et - la solidité des liens sociaux, culturels et familiaux avec le pays hôte et avec le pays de destination. 86. L’exigence d’un « contrôle européen » ne signifie pas cependant que, au moment de déterminer si la mesure en cause a respecté un juste équilibre entre les intérêts en présence, la Cour doive nécessairement en réexaminer la proportionnalité à l’aune de l’article 8 de la Convention. Au contraire, dans les affaires portées devant elle sur le terrain de cette disposition, la Cour considère en général qu’il découle de la marge d’appréciation que, lorsque des juridictions internes indépendantes et impartiales ont soigneusement examiné les faits, en appliquant les normes pertinentes en l’espèce des droits de l’homme d’une manière conforme à la Convention et à sa propre jurisprudence, et qu’elles ont dûment mis en balance les intérêts personnels du requérant et l’intérêt général du public, elle n’a pas à substituer sa propre appréciation (notamment en ce qui concerne les détails factuels relatifs à la proportionnalité) à celle des autorités nationales compétentes. Il n’en va autrement que lorsqu’il est démontré qu’il y a des raisons sérieuses pour qu’elle substitue son avis au leur ( Ndidi , précité, § 76). 87. Se tournant vers les faits de l’espèce, la Cour observe que les juridictions nationales ont procédé à un contrôle en deux étapes : dans un premier temps, dans le cadre de la procédure pénale au fond (paragraphe 29 ci-dessus), et, dans un second temps, dans le cadre de la contestation à l’exécution (paragraphe 35 ci ‑ dessus). La Cour note que seul le premier requérant a été partie à ces procédures internes ; elle estime toutefois que l’issue de ces procédures a également eu des conséquences pour les quatre autres requérants. Le Gouvernement n’a d’ailleurs pas soutenu devant elle que les quatre autres requérants pouvaient intervenir à titre personnel dans ces procédures ou qu’ils avaient un recours interne à leur disposition qu’ils étaient tenus d’exercer. 88 . S’agissant de la procédure pénale au fond, la Cour note que la Haute Cour a accordé un poids important au divorce survenu entre le premier requérant et la cinquième requérante en 2009, laquelle s’était alors vu attribuer la garde des trois autres requérants (paragraphes 8 et 29 ci ‑ dessus). La Cour estime elle aussi que cet élément a un poids certain en l’espèce, puisque le divorce témoigne de l’altération de la vie familiale des requérants (voir, mutatis mutandis , Üner , précité § 62). Devant les tribunaux internes et devant la Cour, le premier requérant n’a pas soutenu avoir participé de manière directe et constante à la vie familiale des quatre autres requérants après le divorce, et il n’a pas non plus plaidé que ces derniers étaient dépendants de son soutien. La Cour prend en compte l’allégation du premier requérant selon laquelle celui-ci envisage de se remarier avec la cinquième requérante (paragraphe 81 ci-dessus). Elle estime cependant que les intéressés ne peuvent plus passer pour ignorer la situation juridique du premier requérant. 89. Ensuite, la Cour note que le premier requérant a saisi les tribunaux internes d’une contestation à l’exécution après avoir été remis en liberté conditionnelle. Dans ses arguments relatifs à sa vie privée et familiale, l’intéressé indiquait que sa famille d’origine se trouvait en Roumanie, qu’il avait des liens sociaux plus forts avec la Roumanie qu’avec l’Irak, et que son ex ‑ épouse et leurs enfants ne pouvaient et ne souhaitaient pas le suivre en Irak (paragraphe 33 ci-dessus). La Cour est d’avis que le premier requérant a soumis aux tribunaux internes des éléments généraux, non assortis d’éléments individuels plus précis. Les juridictions nationales saisies de la contestation à l’exécution ont pris en considération non seulement les arguments présentés par ledit requérant, mais aussi d’autres éléments, dont la nature et la gravité de l’infraction commise par l’intéressé, de même que ses antécédents judiciaires, les liens sociaux, culturels et familiaux avec la Roumanie et avec l’Irak, ainsi que la période passée sur le territoire roumain (paragraphes 34 et 35 ci ‑ dessus). La Cour estime que ces éléments ont eux aussi un poids certain pour l’examen du grief des requérants. Ainsi, elle constate que l’infraction commise par le premier requérant avait une gravité particulière, puisqu’elle était liée à des faits de terrorisme, et que l’intéressé avait également été condamné pour d’autres infractions (paragraphe 11 ci-dessus). Ensuite, la Cour note que le premier requérant est arrivé en Roumanie en 1994, qu’il a aussi obtenu le statut de réfugié en Allemagne en 1997 et a été renvoyé du territoire roumain en 2006, et qu’il est retourné en Roumanie de manière illégale quelques mois après son expulsion, sous une fausse identité et muni de faux documents (paragraphes 7-10 ci ‑ dessus). 90. Qui plus est, la Cour observe que le premier requérant n’a clarifié ni devant les tribunaux internes ni devant elle certaines circonstances factuelles importantes pour l’examen de son grief. Notamment, il n’a pas démontré avoir établi des liens linguistiques, sociaux, culturels ou économiques forts avec la Roumanie. De plus, si l’intéressé a précisé que sa mère et ses frères résidaient en Roumanie (paragraphe 33 ci-dessus), il n’a pas allégué qu’il était dépendant de ces membres de sa famille ou, inversement, qu’il subvenait à leurs besoins. La Cour estime que l’examen opéré par les tribunaux internes a été rendu plus difficile par le défaut de communication par l’intéressé d’aspects factuels plus précis. 91 . La Cour observe aussi que la mesure d’interdiction de l’exercice du droit du premier requérant de rester sur le territoire national est limitée à une durée de cinq ans, ce qui distingue la présente affaire d’autres affaires dans lesquelles les intéressés faisaient l’objet d’une expulsion prononcée pour une durée plus longue, voire illimitée ( Shala c. Suisse , n o 52873/09, § 56, 15 novembre 2012 (affaire dans laquelle le requérant était frappé d’une interdiction du territoire de dix ans), avec les références qui y sont citées). 92. Quant à la situation spécifique des deuxième, troisième et quatrième requérants, la Cour observe que leur garde avait été attribuée à la mère et que le premier requérant n’a pas soutenu, ni devant les tribunaux internes ni devant elle, que, après le divorce, il avait exercé de manière effective un droit de visite envers eux. Elle note également que la troisième requérante est devenue majeure au cours de la procédure devant elle (paragraphe 5 ci ‑ dessus). La Cour note aussi que le premier requérant affirme avoir reçu la visite des autres requérants après son placement en rétention administrative (paragraphe 81 ci ‑ dessus), mais elle estime qu’à lui seul cet élément ne pourrait pas être décisif. Le premier requérant soutient par ailleurs que les autres requérants l’ont suivi lors de son expulsion en 2006 (paragraphe 81 ci ‑ dessus), et les deuxième à cinquième requérants n’ont présenté aucun élément permettant d’établir qu’il existe en ce moment des raisons valables qui les empêcheraient de continuer à maintenir le contact avec le premier requérant ou de lui rendre visite en Irak ou dans un autre pays tiers (voir , mutatis mutandis , Ndidi , précité, § 80). Par conséquent, la Cour juge que dans les circonstances particulières de l’espèce les considérations déjà exposées (paragraphes 88-91 ci ‑ dessus) l’emportent sur les intérêts de la famille. 93. Dès lors, eu égard au juste équilibre ménagé par les juridictions nationales entre les divers intérêts en jeu en l’espèce, la Cour estime que la mise à exécution de l’expulsion du premier requérant vers l’Irak ne décèlerait aucune apparence de violation du droit des requérants au respect de leur vie privée et familiale, tel que garanti par l’article 8 de la Convention. 94. Il s’ensuit que ce grief est manifestement mal fondé et qu’il doit être rejeté, en application de l’article 35 §§ 3 a) et 4 de la Convention. IV. SUR LA VIOLATION ALLÉGUÉE DE L’ARTICLE 6 DE LA CONVENTION 95. Le premier requérant se plaint de la durée et d’un manque d’équité de la procédure pénale menée à son encontre. Il se plaint d’avoir été condamné sur la base des déclarations des témoins que les juridictions nationales n’ont pas entendus directement et des documents secrets auxquels il n’a pas pu avoir accès. Il se fonde sur l’article 6 §§ 1 et 3 de la Convention, qui est ainsi libellé en ses parties pertinentes en l’espèce : « Toute personne a droit à ce que sa cause soit entendue équitablement (...) et dans un délai raisonnable, par un tribunal (...) qui décidera (...) du bien-fondé de toute accusation en matière pénale dirigée contre elle. (...) 3. Tout accusé a droit notamment à : (...) b) disposer du temps et des facilités nécessaires à la préparation de sa défense ; (...) d) interroger ou faire interroger les témoins à charge et obtenir la convocation et l’interrogation des témoins à décharge dans les mêmes conditions que les témoins à charge ; (...) » A. Thèses des parties 96 . Le Gouvernement considère que la procédure pénale a été équitable. Il indique que le premier requérant pouvait se faire représenter par un avocat muni d’un certificat permettant l’accès aux documents secrets utilisés pour son inculpation (paragraphe 12 ci-dessus). Cela étant, la condamnation de l’intéressé n’a nullement été fondée sur ces documents, mais sur des preuves examinées de manière contradictoire. S’agissant notamment des déclarations des témoins, le Gouvernement expose que la plupart d’entre eux, et notamment M.K.A., habitaient à l’étranger et il estime que les autorités ont entrepris des démarches raisonnables et suffisantes pour les localiser. Le Gouvernement soutient qu’il y a eu une impossibilité absolue et objective pour les autorités d’entendre ces témoins et qu’en tout état de cause la condamnation de l’intéressé était fondée sur un ensemble d’éléments de preuve, dont notamment les déclarations du témoin O.F.A. (paragraphes 22 et 28 ci-dessus), entendu sur commission rogatoire, et celles des témoins A.M. et A.M.W., entendus respectivement par la Haute Cour et par la cour d’appel (paragraphes 14, 17 et 26 ci-dessus) 97 . En ce qui concerne la durée de la procédure, le Gouvernement indique que cette dernière a débuté le 22 décembre 2011, lorsque le premier requérant s’est vu notifier l’accusation portée à son encontre (paragraphe</w:t>
      </w:r>
    </w:p>
    <w:p>
      <w:r>
        <w:rPr>
          <w:b/>
        </w:rPr>
        <w:t>E. 12</w:t>
      </w:r>
    </w:p>
    <w:p>
      <w:r>
        <w:t>ci ‑ dessus), et a pris fin le 26 janvier 2016, quand la Haute Cour a rendu son arrêt définitif en l’espèce (paragraphe 27 ci-dessus), et que la durée litigieuse a donc été de quatre ans, un mois et quatre jours. Selon lui, cette durée n’a pas été déraisonnable, compte tenu de la complexité de l’affaire. En outre, il n’y aurait pas eu de périodes d’inactivité imputables aux autorités et l’écoulement de la plupart du temps aurait été dû à la nécessité de procéder à la localisation des témoins. 98 . Le premier requérant estime que la procédure pénale menée à son encontre n’a pas été équitable. Il se réfère, à cet égard, au versement au dossier pénal, par le parquet, de documents secrets et au rejet de ses demandes d’accès à ces documents. L’obtention d’une autorisation d’accès à ces documents aurait été illusoire, et les juridictions nationales auraient dû écarter les documents secrets de son dossier. S’agissant des témoins entendus en l’espèce, il soutient qu’ils n’étaient ni impartiaux ni crédibles. En outre, il expose que les autorités nationales n’ont pas entrepris les démarches nécessaires en vue de l’audition du témoin M.K.A. 99. Le premier requérant n’a pas formulé d’observations sur la durée de la procédure. B. Appréciation de la Cour 100. La Cour note que le grief du premier requérant comporte trois branches, qu’il convient d’examiner séparément. 1. Sur l’audition des témoins a) Principes généraux 101. La Cour examinera la branche du grief relative à l’audition des témoins sous l’angle des dispositions combinées de l’article 6 §§ 1 et 3 d) de la Convention ( Schatschaschwili c. Allemagne [GC], n o 9154/10, § 100, CEDH 2015). À cet égard, elle se réfère aux principes pertinents en la matière exposés dans les arrêts Al ‑ Khawaja et Tahery c. Royaume-Uni [GC] (n os 26766/05 et 22228/06, §§ 118-147, CEDH 2011) et Schatschaschwili (précité, §§ 100-131). 102. Ainsi, selon les principes dégagés dans l’arrêt Al-Khawaja et Tahery (précité) et rappelés dans l’arrêt Schatschaschwili (précité, § 107), l’examen de la compatibilité avec l’article 6 §§ 1 et 3 d) de la Convention d’une procédure dans laquelle les déclarations d’un témoin qui n’a pas comparu et n’a pas été interrogé pendant le procès sont utilisées à titre de preuves comporte trois étapes. La Cour doit rechercher : i. s’il existait un motif sérieux justifiant la non-comparution du témoin et, en conséquence, l’admission à titre de preuve de sa déposition ; ii . si la déposition du témoin absent a constitué le fondement unique ou déterminant de la condamnation ; et iii. s’il existait des éléments compensateurs, notamment des garanties procédurales solides, suffisants pour contrebalancer les difficultés causées à la défense en conséquence de l’admission d’une telle preuve et pour assurer l’équité de la procédure dans son ensemble. 103. Dans son arrêt Schatschaschwili (précité, §§ 111-131), la Cour a confirmé que l’absence de motif sérieux justifiant la non ‑ comparution d’un témoin ne pouvait en elle-même rendre un procès inéquitable, bien qu’elle demeure un élément de poids s’agissant d’apprécier l’équité globale d’un procès, qui est susceptible de faire pencher la balance en faveur d’un constat de violation de l’article 6 §§ 1 et 3 d). De plus, le souci de la Cour étant de s’assurer que la procédure dans son ensemble était équitable, elle doit vérifier s’il existait des éléments compensateurs suffisants non seulement dans les affaires où les déclarations d’un témoin absent constituaient le fondement unique ou déterminant de la condamnation de l’accusé, mais aussi dans celles où elle juge difficile de discerner si ces éléments constituaient la preuve unique ou déterminante mais est néanmoins convaincue qu’ils revêtaient un poids certain et que leur admission pouvait avoir causé des difficultés à la défense. La portée des facteurs compensateurs nécessaires pour que le procès soit considéré comme équitable dépendra de l’importance que revêtent les déclarations du témoin absent. Plus cette importance est grande, plus les éléments compensateurs devront être solides afin que la procédure dans son ensemble soit considérée comme équitable ( Seton c. Royaume ‑ Uni , n o 55287/10, § 59, 31 mars 2016, et Constantinides c. Grèce , n o 76438/12, § 39, 6 octobre 2016). 104. La Cour doit donc vérifier les trois étapes du critère Al ‑ Khawaja et Tahery – dans l’ordre défini dans cet arrêt –, tout en gardant à l’esprit que ces étapes sont interdépendantes et, prises ensemble, servent à établir si la procédure pénale dans le cas d’espèce a été globalement équitable ( Schatschaschwili , précité, § 118). b) Application des principes généraux à la présente affaire 105 . La Cour observe en l’occurrence que le premier requérant met principalement en cause le défaut d’audition du témoin M.K.A. (paragraphe 98 ci-dessus). S’agissant de la première étape du critère Al ‑ Khawaja et Tahery , la Cour note que le témoin M.K.A. était un ressortissant irakien et que les juridictions nationales ont établi qu’au moment de la procédure sur le fond ce témoin ne se trouvait plus sur le territoire roumain (paragraphes 16 et 21 ci-dessus). Le premier requérant a accepté ce constat des juridictions nationales puisque, devant la Haute Cour, il avait demandé l’audition de plusieurs témoins, dont M.K.A., par commission rogatoire (paragraphe 26 ci-dessus). La Cour note ensuite que la Haute Cour a entrepris plusieurs démarches en vue de la localisation de ce témoin et de l’audition de ce dernier en audience publique, en ayant notamment recours à l’entraide judiciaire internationale (paragraphe 26 ci ‑ dessus). Toutefois, ces démarches se sont révélées infructueuses, faute de réponse de la part des autorités irakiennes (paragraphe 27 ci-dessus). La Cour estime donc que ces démarches effectuées par les autorités internes ont eu un caractère adéquat et que l’absence de comparution du témoin M.K.A. n’est pas imputable auxdites autorités (voir, mutatis mutandis , Schatschaschwili , précité, §§ 132-140 et, a contrario , Ben Moumen c. Italie , n o 3977/13, §§ 45-51, 23 juin 2016). L’absence de comparution du témoin M.K.A. et l’admission à titre de preuve de la déposition qu’il avait faite au stade antérieur au procès ont été dès lors justifiées par un motif sérieux. 106 . Sur le point de savoir si la déposition du témoin M.K.A. a constitué le fondement unique ou déterminant de la condamnation du premier requérant, la Cour note que, dans son arrêt du 26 janvier 2016, la Haute Cour s’est notamment référée aux déclarations des témoins A.M.W., A.M. et M.K.A. (paragraphes 27 et 28 ci-dessus). Dans ces conditions, la Cour est prête à admettre que, sans constituer un élément unique ou forcement déterminant, la déposition de M.K.A. revêtait un poids certain, et que son administration a causé des difficultés à la défense (voir, mutatis mutandis , Valdhuter c. Roumanie , n o 70792/10, § 49, 27 juin 2017). 107. Enfin, s’agissant de la recherche d’éléments compensateurs, notamment de garanties procédurales solides, suffisants pour contrebalancer les difficultés causées à la défense, la Cour note que, à l’audience publique du 17 juin 2013, la cour d’appel a procédé en présence du premier requérant, assisté par un interprète, à la lecture de la déclaration effectuée par M.K.A. lors de l’enquête (paragraphe 16 ci-dessus). Si l’intéressé indique que son avocat était absent à cette audience, la Cour note toutefois qu’il était lui ‑ même bien présent et qu’il n’allègue pas qu’après cette audience son avocat ou lui-même ont sollicité une nouvelle lecture de la déclaration de M.K.A. ou adressé d’autres demandes aux juridictions à cet égard. La cour d’appel a procédé à la lecture en audience publique en application des règles procédurales internes (paragraphe 44 ci-dessus), et la Cour estime qu’il s’agit d’un élément à prendre en considération. 108. Ensuite, la Cour note que la condamnation du premier requérant reposait sur un ensemble important d’éléments de preuve, dont l’audition de plusieurs témoins qui avaient été entendus soit en audience publique, en présence dudit requérant, soit par commission rogatoire, avec la possibilité accordée à ce dernier d’adresser des questions par écrit (paragraphe</w:t>
      </w:r>
    </w:p>
    <w:p>
      <w:r>
        <w:rPr>
          <w:b/>
        </w:rPr>
        <w:t>E. 15</w:t>
      </w:r>
    </w:p>
    <w:p>
      <w:r>
        <w:t>ci ‑ dessus). S’agissant plus particulièrement du témoin à l’identité protégée A.M., celui-ci a été entendu à deux reprises par les deux juridictions s’étant prononcées en l’affaire et il a confirmé à chaque fois ses déclarations incriminant le premier requérant (paragraphes 17 et 26 ci ‑ dessus). Ce dernier n’a pas fait état de difficultés particulières liées à l’identité protégée de ce témoin et il s’est limité à mettre en cause sa crédibilité (paragraphe 98 ci ‑ dessus). Quant au témoin A.M.W., il a bien été entendu par la cour d’appel en présence du premier requérant et, lors de cette audition, il n’a pas fait de déclaration incriminante à l’encontre de l’intéressé (paragraphe 14 ci ‑ dessus). La Cour note que ce témoin s’est ensuite rétracté par écrit, alléguant s’être senti menacé par le premier requérant, et confirmant les déclarations incriminantes faites avant le procès, ce qui a déterminé les juridictions à demander une nouvelle audition, laquelle n’a toutefois pas été possible (paragraphe 26 ci ‑ dessus). Cela étant, elle relève que les juridictions nationales ont abordé la déclaration de ce témoin avec prudence et qu’elles se sont livrées à un examen rigoureux de tous les éléments de preuve, à savoir les déclarations des témoins et les autres preuves, dont elles ont établi une liste exhaustive (paragraphes 22 et 28 ci ‑ dessus ; voir, mutatis mutandis , Ben Moumen , précité, § 58, et Virgil Dan Vasile c. Roumanie , n o 35517/11, § 69, 15 mai 2018). 109. Le requérant n’a en outre pas allégué qu’il s’était vu dans l’impossibilité de proposer d’autres éléments de preuve pour sa défense. Par contre, il avait la possibilité de donner sa propre version des faits et mettre en doute la crédibilité du témoin absent M.K.A., en particulier en soulignant toute incohérence ou contradiction avec les déclarations d’autres témoins ( Schatschaschwili , précité, § 131). 110. Afin de se livrer à une appréciation de l’équité de la procédure dans son ensemble, la Cour a eu égard aux éléments compensateurs présents en l’espèce, considérés dans leur globalité à la lumière de sa conclusion selon laquelle l’absence de comparution du témoin M.K.A. était justifiée par un motif sérieux (paragraphe 105 ci-dessus). Elle estime que ces éléments étaient de nature à contrebalancer les difficultés rencontrées par la défense, et ce en dépit du fait que la déposition faite par M.K.A. avant le procès ait revêtu un poids certain aux fins de la condamnation du premier requérant (paragraphe 106 ci-dessus). 111. Dès lors, la Cour estime que le fait que le premier requérant n’a pu, à aucun stade de la procédure, interroger ou faire interroger le témoin M.K.A. ne décèle aucune apparence de violation de l’article 6 §§ 1 et 3 d) de la Convention. 112. Il s’ensuit que cette branche du grief est manifestement mal fondée et qu’elle doit être rejetée, en application de l’article 35 §§ 3 a) et 4 de la Convention. 2. Sur la présence des documents secrets dans le dossier pénal 113. La Cour rappelle que les principes pertinents en l’espèce ont été résumés dans les arrêts Fitt c. Royaume-Uni [GC] (n o 29777/96, §§ 44-46, CEDH 2000 ‑ II) et M. c. Pays-Bas (n o 2156/10, § 66, 25 juillet 2017). En particulier, lorsque des preuves ont été dissimulées à la défense au nom de l’intérêt public, il n’appartient pas à la Cour de dire si pareille attitude était absolument nécessaire car, en principe, c’est aux juridictions internes qu’il revient d’apprécier les preuves produites devant elles ( Fitt , précité, § 46). 114. Se tournant vers les faits de l’espèce, la Cour note que le parquet s’est référé aux documents secrets qui, sans pouvoir justifier à eux seuls l’inculpation du premier requérant, étaient susceptibles d’être pris en considération (paragraphe 12 ci ‑ dessus). La Cour note que les tribunaux internes qui ont condamné le premier requérant ne se sont nullement appuyés sur ces documents pour fonder la condamnation de l’intéressé. Ainsi, la cour d’appel n’en a fait nullement mention dans sa décision du 29 septembre 2014 (paragraphes 21 ‑ 23 ci ‑ dessus). En outre, la Haute Cour a observé que ces éléments avaient servi à justifier l’inculpation du premier requérant, mais elle ne les a pas pris en compte pour motiver la condamnation de l’intéressé (paragraphe 28 ci ‑ dessus). La Cour conclut que ces éléments de preuve secrets n’ont pas été utilisés pour justifier la condamnation du premier requérant et, par conséquent, n’ont eu aucune incidence sur l’équité de la procédure menée contre lui. 115. Il s’ensuit que cette branche du grief est manifestement mal fondée et qu’elle doit être rejetée, en application de l’article 35 §§ 3 a) et 4 de la Convention. 3. Sur la durée de la procédure pénale 116. La Cour rappelle que la durée « raisonnable » d’une procédure doit s’apprécier suivant les circonstances de la cause et eu égard aux critères suivants : la complexité de l’affaire, le comportement du requérant et celui des autorités compétentes, ainsi que l’enjeu du litige pour l’intéressé (voir, parmi beaucoup d’autres, Frydlender c. France [GC], n o 30979/96, § 43, CEDH 2000 ‑ VII). 117. En l’espèce, la Cour prend note des arguments du Gouvernement selon lesquels la procédure pénale a débuté le 22 décembre 2011, lorsque le premier requérant s’est vu notifier l’accusation portée à son encontre, et a pris fin le 26 janvier 2016, quand la Haute Cour a rendu son arrêt définitif (paragraphe 97 ci-dessus). En l’absence d’arguments contraires formulés par le premier requérant, elle souscrit à la thèse du Gouvernement et estime que la procédure pénale a duré en l’espèce quatre ans, un mois et quatre jours pour deux degrés de juridiction. 118. La Cour considère que l’affaire présentait une certaine complexité à raison de la gravité des faits examinés, qui comportaient des éléments transfrontaliers, et de l’existence de nombreux témoins étrangers qui ont dû être identifiés et localisés par les autorités nationales. À cet égard, elle estime que les démarches effectuées par les autorités internes ont été raisonnables et ont été entreprises avec la diligence requise par les exigences du procès équitable. La Cour est particulièrement consciente des difficultés que les autorités nationales ont rencontrées quand elles ont dû identifier et localiser des témoins étrangers qui portaient des noms dont la translittération depuis l’arabe n’a pas toujours été constante et qui, de plus, avaient utilisé plusieurs fausses identités (voir, à ce sujet, l’arrêt de la Haute Cour du 26 janvier 2016 ; paragraphe 28 ci ‑ dessus). 119. Dès lors, tout en tenant compte de l’enjeu de la procédure pénale pour le premier requérant et du comportement de ce dernier au cours de cette instance, la Cour estime que la durée de la procédure en cause ne décèle aucune apparence de violation de l’article 6 de la Convention. 120. Il s’ensuit que cette branche du grief est manifestement mal fondée et qu’elle doit être rejetée, en application de l’article 35 §§ 3 a) et 4 de la Convention. V. SUR LA VIOLATION ALLÉGUÉE DE L’ARTICLE 13 DE LA CONVENTION 121. Invoquant l’article 13 de la Convention, le premier requérant se plaint de ne pas avoir bénéficié d’un recours avec effet suspensif devant les tribunaux internes qui lui aurait permis de faire examiner ses allégations tirées des articles 2 et 3 de la Convention dans l’éventualité de son expulsion vers l’Irak. La première de ces dispositions se lit comme suit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la recevabilité 122. La Cour rappelle avoir déclaré recevables les griefs tirés par le premier requérant des articles 2 et 3 à la Convention dans l’éventualité de son expulsion vers l’Irak (paragraphe 58 ci-dessus). De son avis, ces griefs n’étaient pas manifestement mal fondés et posaient de sérieuses questions de fait et de droit qui nécessitaient un examen au fond. De tels griefs peuvent donc être qualifiés de « défendables » aux fins de l’article 13 de la Convention, indépendamment de la conclusion de la Cour sur le fond (voir, mutatis mutandis , Khlaifia et autres c. Italie [GC], n o 16483/12, § 269, 15 décembre 2016). 123. L’article 13 de la Convention trouve donc à s’appliquer en l’espèce. 124. Constatant que le grief tiré de l’article 13 n’est pas manifestement mal fondé au sens de l’article 35 § 3 a) de la Convention et qu’il ne se heurte par ailleurs à aucun autre motif d’irrecevabilité, la Cour le déclare recevable. B. Sur le fond 1. Thèses des parties 125. Le premier requérant expose que le contrôle opéré par les juridictions nationales tant dans le cadre de la procédure pénale au fond qu’à l’occasion de l’examen de la contestation à l’exécution ou de sa demande d’asile n’a pas été effectif. Il soutient qu’il n’avait à sa disposition aucun recours administratif avec effet suspensif. 126 . Le Gouvernement est d’avis que le premier requérant a bénéficié d’un recours effectif. À ce propos, il dit que la Haute Cour a vérifié ses allégations aussi bien dans le cadre de la procédure pénale au fond que lors de l’examen de la contestation à l’exécution visant la peine complémentaire (paragraphes 29 et 35 ci-dessus). 2. Appréciation de la Cour 127. La Cour rappelle que l’article 13 de la Convention garantit l’existence en droit interne d’un recours permettant de se prévaloir des droits et libertés de la Convention tels qu’ils peuvent s’y trouver consacrés. Cette disposition a donc pour conséquence d’exiger un recours interne habilitant à examiner le contenu d’un « grief défendable » fondé sur la Convention et à offrir le redressement approprié. La portée de l’obligation que l’article 13 fait peser sur les États contractants varie en fonction de la nature du grief du requérant. Toutefois, le recours exigé par l’article 13 doit être « effectif » en pratique comme en droit. « L’effectivité » d’un « recours » au sens de l’article 13 ne dépend pas de la certitude d’une issue favorable pour le requérant. De même, « l’instance » dont parle cette disposition n’a pas besoin d’être une institution judiciaire, mais alors ses pouvoirs et les garanties qu’elle présente entrent en ligne de compte pour apprécier l’effectivité du recours s’exerçant devant elle. En outre, l’ensemble des recours offerts par le droit interne peut remplir les exigences de l’article 13, même si aucun d’eux n’y répond en entier à lui seul ( Čonka c. Belgique , n o 51564/99, § 75, CEDH 2002 ‑ I). 128. La Cour tient à souligner que le grief d’un requérant selon lequel son expulsion aura des conséquences contraires aux articles 2 et 3 de la Convention doit impérativement faire l’objet d’un contrôle attentif par une « instance nationale » (voir, mutatis mutandis et en matière d’extradition, Chamaïev et autres c. Géorgie et Russie , n o 36378/02, § 448, CEDH 2005 ‑ III). Dans ce cas, l’effectivité requiert également que l’intéressé dispose d’un recours de plein droit suspensif ( Gebremedhin [Gaberamadhien] c. France , n o 25389/05, § 66, CEDH 2007 ‑ II ; Hirsi Jamaa et autres c. Italie [GC], n o 27765/09, § 200, CEDH 2012 ; et De Souza Ribeiro c. France [GC], n o 22689/07, § 82 in fine , CEDH 2012). 129. La Cour note que le premier requérant a pu formuler une contestation à l’exécution de la peine complémentaire qui lui avait été imposée (paragraphe 33 ci-dessus) et qu’il a également déposé une demande d’asile (paragraphe 37 ci-dessus). Toutefois, il ne ressort pas des éléments présentés à la Cour que ces recours ont un effet suspensif en droit roumain pour un grief comme celui présenté par le premier requérant. Or, cela est incompatible avec la jurisprudence de la Cour citée au paragraphe précédent. Si, en l’occurrence, les tribunaux internes ont examiné les demandes faites par ledit requérant avant la mise en œuvre de la mesure d’expulsion vers l’Irak, cela est dû au fait que la Cour avait indiqué au gouvernement défendeur de ne pas expulser l’intéressé, en application de l’article 39 du règlement (paragraphe 31 ci-dessus). Le Gouvernement n’a d’ailleurs pas soutenu devant la Cour que ces recours avaient un caractère suspensif de droit en l’espèce (paragraphe 126 ci-dessus). 130 . Il s’ensuit qu’il y a eu violation de l’article 13 combiné avec les articles 2 et 3 de la Convention dans le chef du premier requérant. VI. SUR LES AUTRES VIOLATIONS ALLÉGUÉES 131. Enfin, compte tenu de l’ensemble des éléments dont elle dispose, et pour autant qu’elle est compétente pour connaître des griefs tirés des articles 5 et 8 de la Convention à raison du placement en rétention administrative du premier requérant, que l’intéressé lui a soumis dans ses communications des 18 et 19 avril 2018, la Cour ne relève aucune apparence de violation des droits et libertés garantis par la Convention et ses Protocoles. 132. Il s’ensuit que cette partie de la requête est manifestement mal fondée et qu’elle doit être rejetée, en application de l’article 35 §§ 3 a) et 4 de la Convention. VII. SUR L’APPLICATION DE L’ARTICLE 39 DU RÈGLEMENT DE LA COUR 133. La Cour rappelle que, conformément à l’article 44 § 2 de la Convention, le présent arrêt deviendra définitif : a) lorsque les parties auront déclaré qu’elles ne demanderont pas le renvoi de l’affaire devant la Grande Chambre ; ou b) trois mois après la date de l’arrêt, si le renvoi de l’affaire devant la Grande Chambre n’a pas été demandé ; ou c) lorsque le collège de la Grande Chambre aura rejeté la demande de renvoi formulée en application de l’article 43. 134. En l’espèce, la Cour considère que la mesure qu’elle a indiquée au Gouvernement en application de l’article 39 du règlement (paragraphe 31 ci ‑ dessus) doit demeurer en vigueur jusqu’à ce que le présent arrêt devienne définitif ou qu’elle rende une autre décision à cet égard (voir, mutatis mutandis , A.M. c. France , n o 12148/18, § 136, 29 avril 2019). VIII. SUR L’APPLICATION DE L’ARTICLE 41 DE LA CONVENTION 135.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136. Les requérants réclament 1 500 000 euros (EUR) au titre du préjudice moral qu’ils disent avoir subi. Ils exposent que les procédures dont le premier requérant a fait l’objet ainsi que la séparation de la famille leur ont causé des souffrances et de la détresse. 137. Le Gouvernement invite la Cour à tenir compte de sa jurisprudence en la matière. 138. La Cour rappelle que son constat de violation est limité à l’article 13 combiné avec les articles 2 et 3 de la Convention dans le seul chef du premier requérant (paragraphe 130 ci-dessus). Dès lors, elle rejette la demande de satisfaction équitable formée par les quatre autres requérants. Quant au premier requérant, elle estime que le constat d’une violation représente en soi une satisfaction équitable suffisante pour tout dommage moral pouvant avoir été subi par celui-ci (voir, mutatis mutandis , J.K. et autres c. Suède , précité, § 127). B. Frais et dépens 139. Les requérants, qui ont été admis au bénéfice de l’assistance judiciaire (paragraphe 2 ci-dessus), ne demandent pas le remboursement des frais et dépens engagés par eux. 140. Dès lors, la Cour n’est pas appelée à allouer des sommes à ce titre. C. Intérêts moratoires 141.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