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64969/10 vom 16. Dezember 2014</w:t>
      </w:r>
    </w:p>
    <w:p>
      <w:r>
        <w:t>Ecthr Chamber, 2014-12-16, FR</w:t>
      </w:r>
    </w:p>
    <w:p>
      <w:r>
        <w:rPr>
          <w:b/>
        </w:rPr>
        <w:t xml:space="preserve">Quelle: </w:t>
      </w:r>
      <w:r>
        <w:t>https://mcp.opencaselaw.ch/entscheid/ecthr_chamber_64969_10</w:t>
      </w:r>
    </w:p>
    <w:p>
      <w:r>
        <w:t>FR: ECTHR_CHAMBER 64969/10 du 16 décembre 2014</w:t>
      </w:r>
    </w:p>
    <w:p>
      <w:r>
        <w:t>IT: ECTHR_CHAMBER 64969/10 del 16 dicembre 2014</w:t>
      </w:r>
    </w:p>
    <w:p>
      <w:pPr>
        <w:pStyle w:val="Heading2"/>
      </w:pPr>
      <w:r>
        <w:t>Regeste</w:t>
      </w:r>
    </w:p>
    <w:p>
      <w:r>
        <w:t>Violation de l'article 3 - Interdiction de la torture (Article 3 - Enquête efficace) (Volet procédural); Violation: 3</w:t>
      </w:r>
    </w:p>
    <w:p>
      <w:pPr>
        <w:pStyle w:val="Heading2"/>
      </w:pPr>
      <w:r>
        <w:t>Erwägungen</w:t>
      </w:r>
    </w:p>
    <w:p>
      <w:r>
        <w:rPr>
          <w:b/>
        </w:rPr>
        <w:t>E. 28</w:t>
      </w:r>
    </w:p>
    <w:p>
      <w:r>
        <w:t>Invoquant l’article 3 de la Convention, le requérant se plaint d’avoir fait l’objet de mauvais traitements lors de son arrestation et de sa garde à vue. Sous l’angle du même article, il se plaint également de l’absence d’enquête pénale effective à l’encontre du médecin ayant rédigé les rapports médicaux du 15 février 2009 et des policiers responsables de son arrestation et de sa garde à vue.</w:t>
      </w:r>
    </w:p>
    <w:p>
      <w:r>
        <w:rPr>
          <w:b/>
        </w:rPr>
        <w:t>E. 29</w:t>
      </w:r>
    </w:p>
    <w:p>
      <w:r>
        <w:t>Invoquant l’article 13 de la Convention, le requérant dénonce l’ineffectivité de l’enquête menée à l’encontre des policiers, reprochant aux autorités ayant mené l’enquête un manque d’indépendance. Sous l’angle du même article, il se plaint en outre de l’absence de motivation de l’ordonnance de non-lieu du parquet et de l’absence d’identification des policiers responsables de son arrestation et de sa garde à vue.</w:t>
      </w:r>
    </w:p>
    <w:p>
      <w:r>
        <w:rPr>
          <w:b/>
        </w:rPr>
        <w:t>E. 30</w:t>
      </w:r>
    </w:p>
    <w:p>
      <w:r>
        <w:t>Le Gouvernement conteste les allégations et thèses du requérant.</w:t>
      </w:r>
    </w:p>
    <w:p>
      <w:r>
        <w:rPr>
          <w:b/>
        </w:rPr>
        <w:t>E. 31</w:t>
      </w:r>
    </w:p>
    <w:p>
      <w:r>
        <w:t>Eu égard à la formulation des griefs du requérant, la Cour estime qu’il convient d’examiner la requête uniquement sous l’angle de l’article 3 de la Convention. Cette disposition est ainsi libellée : « Nul ne peut être soumis à la torture ni à des peines ou traitements inhumains ou dégradants. » A. Sur la recevabilité</w:t>
      </w:r>
    </w:p>
    <w:p>
      <w:r>
        <w:rPr>
          <w:b/>
        </w:rPr>
        <w:t>E. 32</w:t>
      </w:r>
    </w:p>
    <w:p>
      <w:r>
        <w:t>Le Gouvernement ne soulève aucune exception d’irrecevabilité.</w:t>
      </w:r>
    </w:p>
    <w:p>
      <w:r>
        <w:rPr>
          <w:b/>
        </w:rPr>
        <w:t>E. 33</w:t>
      </w:r>
    </w:p>
    <w:p>
      <w:r>
        <w:t>Constatant que la requête n’est pas manifestement mal fondée au sens de l’article 35 § 3 a) de la Convention et qu’elle ne se heurte à aucun autre motif d’irrecevabilité, la Cour la déclare recevable. B. Sur le fond</w:t>
      </w:r>
    </w:p>
    <w:p>
      <w:r>
        <w:rPr>
          <w:b/>
        </w:rPr>
        <w:t>E. 34</w:t>
      </w:r>
    </w:p>
    <w:p>
      <w:r>
        <w:t>Le requérant se plaint en substance d’une violation de l’article 3 de la Convention tant en son volet matériel qu’en son volet procédural.</w:t>
      </w:r>
    </w:p>
    <w:p>
      <w:r>
        <w:rPr>
          <w:b/>
        </w:rPr>
        <w:t>E. 35</w:t>
      </w:r>
    </w:p>
    <w:p>
      <w:r>
        <w:t>Le Gouvernement soutient que, à l’exception de la blessure à l’oreille du requérant, les autres blessures infligées à ce dernier étaient minimes et n’atteignaient pas le seuil de gravité requis pour tomber sous le coup de l’article 3 de la Convention.</w:t>
      </w:r>
    </w:p>
    <w:p>
      <w:r>
        <w:rPr>
          <w:b/>
        </w:rPr>
        <w:t>E. 36</w:t>
      </w:r>
    </w:p>
    <w:p>
      <w:r>
        <w:t>Il fait remarquer que le requérant a été arrêté par les forces de l’ordre en possession d’un lance-pierre dont il se servait comme arme contre lesdites forces alors qu’il tentait de s’enfuir.</w:t>
      </w:r>
    </w:p>
    <w:p>
      <w:r>
        <w:rPr>
          <w:b/>
        </w:rPr>
        <w:t>E. 37</w:t>
      </w:r>
    </w:p>
    <w:p>
      <w:r>
        <w:t>De plus, il est d’avis qu’il est tout à fait possible de concevoir que les blessures en question auraient pu être infligées à n’importe quel agresseur en fuite et, qui plus est, au cours d’une arrestation policière.</w:t>
      </w:r>
    </w:p>
    <w:p>
      <w:r>
        <w:rPr>
          <w:b/>
        </w:rPr>
        <w:t>E. 38</w:t>
      </w:r>
    </w:p>
    <w:p>
      <w:r>
        <w:t>S’agissant de la lésion à l’oreille du requérant, le Gouvernement estime qu’elle serait probablement due à une infection survenue avant la date des évènements litigieux. À cet égard, il précise que les rapports médicaux n’ont relevé aucune trace de coups ou de violence sur l’oreille du requérant.</w:t>
      </w:r>
    </w:p>
    <w:p>
      <w:r>
        <w:rPr>
          <w:b/>
        </w:rPr>
        <w:t>E. 39</w:t>
      </w:r>
    </w:p>
    <w:p>
      <w:r>
        <w:t>En ce qui concerne l’enquête menée en droit interne, il affirme que les autorités ont réagi de façon rapide et effective aux allégations du requérant : lesdites autorités auraient mené une enquête conforme aux dispositions nationales et aux exigences de l’article 3 de la Convention en recueillant toutes les preuves et en mettant en application toutes les garanties procédurales.</w:t>
      </w:r>
    </w:p>
    <w:p>
      <w:r>
        <w:rPr>
          <w:b/>
        </w:rPr>
        <w:t>E. 40</w:t>
      </w:r>
    </w:p>
    <w:p>
      <w:r>
        <w:t>La Cour rappelle que, lorsqu’un individu affirme de manière défendable avoir subi, aux mains de la police ou d’autres services comparables de l’État, un traitement contraire à l’article 3 de la Convention, cette disposition, combinée avec le devoir général imposé à l’État par l’article 1 de la Convention de « reconnaître à toute personne relevant de [sa] juridiction les droits et libertés définis (...) [dans la] Convention », requiert, par implication, qu’il y ait une enquête officielle effective ( Assenov et autres c. Bulgarie , 28 octobre 1998, §§ 102 ‑ 103, Recueil des arrêts et décisions 1998 ‑ VIII, Batı et autres c. Turquie , n os 33097/96 et 57834/00, §§ 134-137, CEDH 2004 ‑ IV, Abdülsamet Yaman c. Turquie , n o 32446/96, § 54, 2 novembre 2004, Khachiev et Akaïeva c. Russie, n os 57942/00 et 57945/00, § 177, 24 février 2005 et Menecheva c. Russie , n o 59261/00, § 67, CEDH 2006 ‑ III).</w:t>
      </w:r>
    </w:p>
    <w:p>
      <w:r>
        <w:rPr>
          <w:b/>
        </w:rPr>
        <w:t>E. 41</w:t>
      </w:r>
    </w:p>
    <w:p>
      <w:r>
        <w:t>La prompte ouverture d’une enquête et la conduite diligente de celle-ci sont en effet capitales pour maintenir la confiance du public et son adhésion à l’État de droit et pour prévenir toute apparence de tolérance d’actes illégaux ou de collusion dans leur perpétration ( Necati Yılmaz c. Turquie , n o 15380/09, § 61, 12 février 2013, et Nurgül Doğan c. Turquie , n o 72194/01, § 61, 8 juillet 2008).</w:t>
      </w:r>
    </w:p>
    <w:p>
      <w:r>
        <w:rPr>
          <w:b/>
        </w:rPr>
        <w:t>E. 42</w:t>
      </w:r>
    </w:p>
    <w:p>
      <w:r>
        <w:t>En l’espèce, la Cour observe d’abord que, selon le procès-verbal d’incident établi le 14 février 2009, le requérant a été arrêté le même jour à 12 heures par les forces de l’ordre. Elle note que rien n’indique dans ce document que l’intéressé ait eu un comportement ayant justifié d’une quelconque façon le recours à la force contre lui. Le procès-verbal n’indiquait notamment aucune résistance à l’arrestation (paragraphe 10 ci-dessus).</w:t>
      </w:r>
    </w:p>
    <w:p>
      <w:r>
        <w:rPr>
          <w:b/>
        </w:rPr>
        <w:t>E. 43</w:t>
      </w:r>
    </w:p>
    <w:p>
      <w:r>
        <w:t>Elle relève ensuite que le requérant a été examiné par des médecins après son arrestation et qu’il s’est plaint auprès d’eux d’avoir reçu des coups : les rapports médicaux établis mentionnent effectivement l’existence de certaines blessures correspondant aux allégations du requérant. Ces blessures atteignent le seuil minimum de gravité requis pour entrer dans le champ d’application de l’article 3 de la Convention. Il appartient dès lors au Gouvernement de fournir une explication plausible que les blessures du requérant avaient une origine autre que les traitements subis par celui-ci lors de son arrestation ( Salman c. Turquie [GC], n o 21986/93, § 100, CEDH 2000-VII).</w:t>
      </w:r>
    </w:p>
    <w:p>
      <w:r>
        <w:rPr>
          <w:b/>
        </w:rPr>
        <w:t>E. 44</w:t>
      </w:r>
    </w:p>
    <w:p>
      <w:r>
        <w:t>Compte tenu des carences du dossier d’enquête sur la nature ou le degré de la force employée lors de l’arrestation du requérant, la Cour estime que le Gouvernement ne saurait passer pour avoir fourni une explication plausible sur l’origine de ces blessures.</w:t>
      </w:r>
    </w:p>
    <w:p>
      <w:r>
        <w:rPr>
          <w:b/>
        </w:rPr>
        <w:t>E. 45</w:t>
      </w:r>
    </w:p>
    <w:p>
      <w:r>
        <w:t>En effet, s’agissant notamment de la lésion à l’oreille de l’intéressé, elle note que les rapports médicaux n’ont pas été établis en bonne et due forme, ce qui a d’ailleurs été souligné par l’institut médicolégal (paragraphe 23 ci-dessus) : les médecins n’ont pas mentionné les caractéristiques dimensionnelles de la perforation et ils n’ont pas précisé si celle-ci était accompagnée ou non d’un écoulement de sang ; il était dès lors devenu impossible de déterminer onze mois après l’origine exacte de cette lésion à l’oreille.</w:t>
      </w:r>
    </w:p>
    <w:p>
      <w:r>
        <w:rPr>
          <w:b/>
        </w:rPr>
        <w:t>E. 46</w:t>
      </w:r>
    </w:p>
    <w:p>
      <w:r>
        <w:t>La Cour observe par ailleurs que le parquet n’a réalisé aucun acte d’investigation sur les agissements des forces de sécurité qui ont arrêté le requérant et que les policiers impliqués dans les évènements n’ont même pas été identifiés.</w:t>
      </w:r>
    </w:p>
    <w:p>
      <w:r>
        <w:rPr>
          <w:b/>
        </w:rPr>
        <w:t>E. 47</w:t>
      </w:r>
    </w:p>
    <w:p>
      <w:r>
        <w:t>En outre, la Cour note que le procureur de la République chargé d’examiner la plainte du requérant n’a jamais entendu l’intéressé, alors que celui-ci aurait pu fournir sa version des faits. Or, à cet égard, il convient de rappeler que, lorsque les évènements en cause, dans leur totalité ou pour une large part, sont connus exclusivement des autorités – comme dans le cas des personnes soumises à leur contrôle –, le récit des plaignants constitue un élément fondamental pour déterminer les causes des blessures constatées. Ainsi, les autorités d’enquête peuvent vérifier la véracité des allégations de mauvais traitements en comparant le contenu des preuves documentaires médicales, quant aux séquelles constatées, avec le récit qui en est fait par les plaignants ( Altay c. Turquie , n o 22279/93, 22279/93, § 55, 22 mai 2001).</w:t>
      </w:r>
    </w:p>
    <w:p>
      <w:r>
        <w:rPr>
          <w:b/>
        </w:rPr>
        <w:t>E. 48</w:t>
      </w:r>
    </w:p>
    <w:p>
      <w:r>
        <w:t>Or, dans des circonstances similaires à celles de la présente espèce, les autorités nationales devaient prendre toutes les mesures positives nécessaires pour agir avec une promptitude suffisante et une diligence raisonnable, de sorte que les auteurs de traitements contraires à l’article 3 de la Convention ne jouissent pas d’une quasi-impunité.</w:t>
      </w:r>
    </w:p>
    <w:p>
      <w:r>
        <w:rPr>
          <w:b/>
        </w:rPr>
        <w:t>E. 49</w:t>
      </w:r>
    </w:p>
    <w:p>
      <w:r>
        <w:t>A la lumière de ce qui précède, la Cour considère qu’en l’espèce l’absence de promptitude et de diligence dans la conduite de l’enquête a eu pour conséquence d’accorder une quasi-impunité aux agents des forces de sécurité impliqués dans les évènements, auteurs présumés d’actes de violence contre le requérant, et de rendre la plainte pénale de ce dernier ineffective.</w:t>
      </w:r>
    </w:p>
    <w:p>
      <w:r>
        <w:rPr>
          <w:b/>
        </w:rPr>
        <w:t>E. 50</w:t>
      </w:r>
    </w:p>
    <w:p>
      <w:r>
        <w:t>Partant, il y a eu violation de l’article 3 de la Convention. II. SUR L’APPLICATION DE L’ARTICLE 41 DE LA CONVENTION 51.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52. Le requérant n’a présenté aucune demande de satisfaction équitable dans le délai qui lui était imparti. Partant, la Cour estime qu’il n’y a pas lieu de lui octroyer de somme à ce titre.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