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62722/00 vom 10. Mai 2007</w:t>
      </w:r>
    </w:p>
    <w:p>
      <w:r>
        <w:t>Ecthr Chamber, 2007-05-10, FR</w:t>
      </w:r>
    </w:p>
    <w:p>
      <w:r>
        <w:rPr>
          <w:b/>
        </w:rPr>
        <w:t xml:space="preserve">Quelle: </w:t>
      </w:r>
      <w:r>
        <w:t>https://mcp.opencaselaw.ch/entscheid/ecthr_chamber_62722_00</w:t>
      </w:r>
    </w:p>
    <w:p>
      <w:r>
        <w:t>FR: ECTHR_CHAMBER 62722/00 du 10 mai 2007</w:t>
      </w:r>
    </w:p>
    <w:p>
      <w:r>
        <w:t>IT: ECTHR_CHAMBER 62722/00 del 10 maggio 2007</w:t>
      </w:r>
    </w:p>
    <w:p>
      <w:pPr>
        <w:pStyle w:val="Heading2"/>
      </w:pPr>
      <w:r>
        <w:t>Regeste</w:t>
      </w:r>
    </w:p>
    <w:p>
      <w:r>
        <w:t>Violation de l'art. 6-1; Violation: 6;6-1</w:t>
      </w:r>
    </w:p>
    <w:p>
      <w:pPr>
        <w:pStyle w:val="Heading2"/>
      </w:pPr>
      <w:r>
        <w:t>Erwägungen</w:t>
      </w:r>
    </w:p>
    <w:p>
      <w:r>
        <w:rPr>
          <w:b/>
        </w:rPr>
        <w:t>E. 29</w:t>
      </w:r>
    </w:p>
    <w:p>
      <w:r>
        <w:t>La Cour constate que la veuve du requérant a souhaité continuer la procédure au nom du défunt (voir paragraphe 4 ci-dessus). Sa qualité de poursuivre la procédure n'ayant pas été contesté, la Cour ne voit pas de motif d'en décider autrement (voir, par exemple, Ahmet Sadık c. Grèce , arrêt du 15 novembre 1996, Recueil des arrêts et décisions 1996 ‑ V, p. 1652, § 26 et Loukanov c. Bulgarie , arrêt du 20 mars 1997, Recueil 1997 ‑ II, p. 540, § 35). II. SUR LA VIOLATION ALLÉGUÉE DE L'ARTICLE 6 § 1 DE LA CONVENTION</w:t>
      </w:r>
    </w:p>
    <w:p>
      <w:r>
        <w:rPr>
          <w:b/>
        </w:rPr>
        <w:t>E. 30</w:t>
      </w:r>
    </w:p>
    <w:p>
      <w:r>
        <w:t>Le requérant alléguait que la durée de la procédure engagée en 1995 avait méconnu le principe du « délai raisonnable » tel que prévu par l'article 6 § 1 de la Convention, ainsi libellé : « Toute personne a droit à ce que sa cause soit entendue (...) dans un délai raisonnable, par un tribunal (...), qui décidera (...) des contestations sur ses droits et obligations de caractère civil (...) »</w:t>
      </w:r>
    </w:p>
    <w:p>
      <w:r>
        <w:rPr>
          <w:b/>
        </w:rPr>
        <w:t>E. 31</w:t>
      </w:r>
    </w:p>
    <w:p>
      <w:r>
        <w:t>Le Gouvernement s'oppose à cette thèse. Il fait valoir que les tribunaux ont fait le nécessaire pour accélérer la procédure, en particulier le tribunal de district a saisi à plusieurs reprises le service des notifications au sujet des citations irrégulières des fils du requérant qui, en toute apparence, ont abusé de leurs droits, en tant que parties au litige, et ont souvent été à l'origine des ajournements des audiences. Ils évitaient systématiquement l'employé chargé des notifications visant, de toute évidence, de retarder l'examen de la cause.</w:t>
      </w:r>
    </w:p>
    <w:p>
      <w:r>
        <w:rPr>
          <w:b/>
        </w:rPr>
        <w:t>E. 32</w:t>
      </w:r>
    </w:p>
    <w:p>
      <w:r>
        <w:t>Par ailleurs, le requérant lui-même a été à l'origine de certains retards, en particulier de ceux occasionnés par ses omissions de verser certaines taxes judicaires.</w:t>
      </w:r>
    </w:p>
    <w:p>
      <w:r>
        <w:rPr>
          <w:b/>
        </w:rPr>
        <w:t>E. 33</w:t>
      </w:r>
    </w:p>
    <w:p>
      <w:r>
        <w:t>En conclusion, le Gouvernement invite la Cour à rejeter la requête pour défaut manifeste de fondement. A. Sur la recevabilité</w:t>
      </w:r>
    </w:p>
    <w:p>
      <w:r>
        <w:rPr>
          <w:b/>
        </w:rPr>
        <w:t>E. 34</w:t>
      </w:r>
    </w:p>
    <w:p>
      <w:r>
        <w:t>La Cour constate que la requête n'est pas manifestement mal fondée au sens de l'article 35 § 3 de la Convention Elle relève en outre qu'elle ne se heurte à aucun autre motif d'irrecevabilité. Il convient donc de la déclarer recevable. B. Sur le fond</w:t>
      </w:r>
    </w:p>
    <w:p>
      <w:r>
        <w:rPr>
          <w:b/>
        </w:rPr>
        <w:t>E. 35</w:t>
      </w:r>
    </w:p>
    <w:p>
      <w:r>
        <w:t>La Cour relève que la période à considérer a commencé avec la saisine du tribunal de district de Dupnitsa, à une date non précisée en 1995. La période en question s'est terminée le 14 mars 2003, date à laquelle la Cour suprême de cassation a confirmé la décision d'irrecevabilité de l'appel du requérant. Elle a donc duré environ huit ans. Pendant cette période une instance a examiné l'affaire au fond et trois instances ont jugé de la recevabilité de l'appel du requérant.</w:t>
      </w:r>
    </w:p>
    <w:p>
      <w:r>
        <w:rPr>
          <w:b/>
        </w:rPr>
        <w:t>E. 36</w:t>
      </w:r>
    </w:p>
    <w:p>
      <w:r>
        <w:t>La Cour rappelle que le caractère raisonnable de la durée d'une procédure s'apprécie suivant les circonstances de la cause et eu égard aux critères consacrés par sa jurisprudence, en particulier la complexité de l'affaire, le comportement du requérant et celui des autorités compétentes ainsi que l'enjeu du litige pour les intéressés (voir, parmi beaucoup d'autres, Frydlender c. France [GC], n o 30979/96, § 43, CEDH 2000-VII).</w:t>
      </w:r>
    </w:p>
    <w:p>
      <w:r>
        <w:rPr>
          <w:b/>
        </w:rPr>
        <w:t>E. 37</w:t>
      </w:r>
    </w:p>
    <w:p>
      <w:r>
        <w:t>S'agissant du premier des critères énoncés ci-dessus, la Cour observe que celle-ci revêtait une certaine complexité légale dans la mesure où le tribunal devait juger de la validité du jugement rendu à l'issue de la première procédure avant de procéder au partage du bien.</w:t>
      </w:r>
    </w:p>
    <w:p>
      <w:r>
        <w:rPr>
          <w:b/>
        </w:rPr>
        <w:t>E. 38</w:t>
      </w:r>
    </w:p>
    <w:p>
      <w:r>
        <w:t>Concernant le comportement du requérant, la Cour note que deux audiences ont été ajournées en raison de son absence, les 13 novembre 1995 et 27 novembre 2000 respectivement.</w:t>
      </w:r>
    </w:p>
    <w:p>
      <w:r>
        <w:rPr>
          <w:b/>
        </w:rPr>
        <w:t>E. 39</w:t>
      </w:r>
    </w:p>
    <w:p>
      <w:r>
        <w:t>S'agissant enfin du comportement des autorités internes, la Cour relève que l'affaire a été ajournée à maintes reprises en raison de la citation irrégulière des fils du requérant.</w:t>
      </w:r>
    </w:p>
    <w:p>
      <w:r>
        <w:rPr>
          <w:b/>
        </w:rPr>
        <w:t>E. 40</w:t>
      </w:r>
    </w:p>
    <w:p>
      <w:r>
        <w:t>La Cour ne peut souscrire à la thèse du Gouvernement, selon laquelle ces retards ne sont dus qu'au comportement des fils de l'intéressé. Elle réaffirme qu'il incombe aux Etats contractants d'organiser leur système judiciaire de telle sorte que leurs juridictions puissent garantir à chacun le droit d'obtenir une décision définitive sur les contestations relatives à ses droits et obligations de caractère civil dans un délai raisonnable (l'arrêt Frydender précité, § 45). Cela implique également la mise en place de procédés de notification efficaces, permettant d'assurer la notification de la date des audiences aux parties en temps voulu.</w:t>
      </w:r>
    </w:p>
    <w:p>
      <w:r>
        <w:rPr>
          <w:b/>
        </w:rPr>
        <w:t>E. 41</w:t>
      </w:r>
    </w:p>
    <w:p>
      <w:r>
        <w:t>La Cour prend note des efforts déployés par les juridictions internes en vue d'accélérer la procédure. Force est toutefois de constater qu'ils se sont avérés infructueux. Du reste, les propositions d'imposition de sanctions disciplinaires à l'employé chargé des notifications ne semblent pas avoir été prises en compte. Les problèmes relatifs à la citation des fils de l'intéressé ont perduré tout au long de l'examen de la cause et ont entraîné plus de quinze ajournements de l'affaire.</w:t>
      </w:r>
    </w:p>
    <w:p>
      <w:r>
        <w:rPr>
          <w:b/>
        </w:rPr>
        <w:t>E. 42</w:t>
      </w:r>
    </w:p>
    <w:p>
      <w:r>
        <w:t>A cela s'ajoute le délai de plus d'un an entre le prononcé du premier jugement du tribunal de district et le commencement de la deuxième phase de la procédure.</w:t>
      </w:r>
    </w:p>
    <w:p>
      <w:r>
        <w:rPr>
          <w:b/>
        </w:rPr>
        <w:t>E. 43</w:t>
      </w:r>
    </w:p>
    <w:p>
      <w:r>
        <w:t>En conclusion, eu égard aux éléments de l'espèce, la Cour estime qu'en l'espèce la durée de la procédure litigieuse est excessive et ne répond pas à l'exigence du « délai raisonnable ».</w:t>
      </w:r>
    </w:p>
    <w:p>
      <w:r>
        <w:rPr>
          <w:b/>
        </w:rPr>
        <w:t>E. 44</w:t>
      </w:r>
    </w:p>
    <w:p>
      <w:r>
        <w:t>Partant, il y a eu violation de l'article 6 § 1. III. SUR L'APPLICATION DE L'ARTICLE 41 DE LA CONVENTION</w:t>
      </w:r>
    </w:p>
    <w:p>
      <w:r>
        <w:rPr>
          <w:b/>
        </w:rPr>
        <w:t>E. 45</w:t>
      </w:r>
    </w:p>
    <w:p>
      <w:r>
        <w:t>Aux termes de l ' 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w:t>
      </w:r>
    </w:p>
    <w:p>
      <w:r>
        <w:rPr>
          <w:b/>
        </w:rPr>
        <w:t>E. 46</w:t>
      </w:r>
    </w:p>
    <w:p>
      <w:r>
        <w:t>Le requérant a réclamé 29 000 levs bulgares (BGN – environ 14 900 euros (EUR) au titre du préjudice matériel qu'il aurait subi (frais de location d'une nouvelle maison et indemnité pour la dépréciation de l'objet du litige). Par ailleurs, il a demandé 8 000 BGN (environ 4 100 EUR) pour dommage moral.</w:t>
      </w:r>
    </w:p>
    <w:p>
      <w:r>
        <w:rPr>
          <w:b/>
        </w:rPr>
        <w:t>E. 47</w:t>
      </w:r>
    </w:p>
    <w:p>
      <w:r>
        <w:t>Le Gouvernement n'a pas pris position à cet égard.</w:t>
      </w:r>
    </w:p>
    <w:p>
      <w:r>
        <w:rPr>
          <w:b/>
        </w:rPr>
        <w:t>E. 48</w:t>
      </w:r>
    </w:p>
    <w:p>
      <w:r>
        <w:t>La Cour n'aperçoit pas de lien de causalité entre la violation constatée et le dommage matériel allégué et rejette cette demande. En revanche, elle estime que l'intéressé a subi un préjudice de caractère moral du fait de la durée de la procédure. Statuant en équité, elle accorde à sa veuve 2 600 EUR au titre du préjudice moral subi. B. Frais et dépens</w:t>
      </w:r>
    </w:p>
    <w:p>
      <w:r>
        <w:rPr>
          <w:b/>
        </w:rPr>
        <w:t>E. 49</w:t>
      </w:r>
    </w:p>
    <w:p>
      <w:r>
        <w:t>Le requérant a demandé 3 000 BGN (environ 1 540 EUR) pour les frais encourus devant les juridiction internes (frais de transport et honoraires d'avocat) et 106 BGN (environ 55 EUR) pour les frais et dépens encourus devant la Cour. Il a présenté des factures pour les frais encourus dans la procédure devant la Cour.</w:t>
      </w:r>
    </w:p>
    <w:p>
      <w:r>
        <w:rPr>
          <w:b/>
        </w:rPr>
        <w:t>E. 50</w:t>
      </w:r>
    </w:p>
    <w:p>
      <w:r>
        <w:t>Le Gouvernement n'a pas pris de position à cet égard. 51. Selon la jurisprudence de la Cour, un requérant ne peut obtenir le remboursement de ses frais et dépens que dans la mesure où se trouvent établis leur réalité, leur nécessité et le caractère raisonnable de leur taux. En l'espèce et compte tenu des éléments en sa possession et des critères susmentionnés, la Cour rejette la demande relative aux frais et dépens de la procédure nationale qui n'ont pas trait à la violation constatée. En revanche, elle accorde à la veuve du requérant la totalité de la somme réclamée pour les frais encourus devant la Cour. C. Intérêts moratoires 52. La Cour juge approprié de baser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