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60654/00 vom 16. Juni 2005</w:t>
      </w:r>
    </w:p>
    <w:p>
      <w:r>
        <w:t>Ecthr Chamber, 2005-06-16, FR</w:t>
      </w:r>
    </w:p>
    <w:p>
      <w:r>
        <w:rPr>
          <w:b/>
        </w:rPr>
        <w:t xml:space="preserve">Quelle: </w:t>
      </w:r>
      <w:r>
        <w:t>https://mcp.opencaselaw.ch/entscheid/ecthr_chamber_60654_00</w:t>
      </w:r>
    </w:p>
    <w:p>
      <w:r>
        <w:t>FR: ECTHR_CHAMBER 60654/00 du 16 juin 2005</w:t>
      </w:r>
    </w:p>
    <w:p>
      <w:r>
        <w:t>IT: ECTHR_CHAMBER 60654/00 del 16 giugno 2005</w:t>
      </w:r>
    </w:p>
    <w:p>
      <w:pPr>
        <w:pStyle w:val="Heading2"/>
      </w:pPr>
      <w:r>
        <w:t>Regeste</w:t>
      </w:r>
    </w:p>
    <w:p>
      <w:r>
        <w:t>Violation de l'art. 8;Non-violation de l'art. 34;Préjudice moral - réparation pécuniaire;Frais et dépens - demande rejetée; Violation: 8; No violation: 34</w:t>
      </w:r>
    </w:p>
    <w:p>
      <w:pPr>
        <w:pStyle w:val="Heading2"/>
      </w:pPr>
      <w:r>
        <w:t>Erwägungen</w:t>
      </w:r>
    </w:p>
    <w:p>
      <w:r>
        <w:rPr>
          <w:b/>
        </w:rPr>
        <w:t>E. 1</w:t>
      </w:r>
    </w:p>
    <w:p>
      <w:r>
        <w:t>Toute personne a droit au respect de sa vie privée et familiale (...).</w:t>
      </w:r>
    </w:p>
    <w:p>
      <w:r>
        <w:rPr>
          <w:b/>
        </w:rPr>
        <w:t>E. 2</w:t>
      </w:r>
    </w:p>
    <w:p>
      <w:r>
        <w:t>§ 1 de cette loi pose la condition du séjour « légal » de l’intéressé sur le territoire letton. Cependant, comme il ressort clairement de la lettre du 11 novembre 2003, la Direction est prête à considérer que la première requérante réside « légalement » sur le territoire letton, ce qui lui ouvrirait la possibilité de régulariser sa situation conformément à la loi en question. En outre, le Gouvernement a fourni copie d’une lettre que le chef de la Direction a adressée à son agent le 17 décembre 2002 et qui déclare la volonté de cet organe d’accorder à la première requérante le statut d’« apatride » si elle le sollicite. 88. Si la première requérante obtenait le statut d’« apatride », elle bénéficierait des droits visés aux articles 3 et 4 de la loi relative au statut d’apatride : celui de quitter librement le pays et d’y retourner, celui d’« accueillir son conjoint venant de l’étranger », celui de « préserver sa langue maternelle, sa culture et ses traditions » ; en outre, elle recevrait une pièce d’identité qui lui permettrait de se déplacer sans entrave à l’étranger. Par ailleurs, le délai minimum de résidence légale prévu par la loi pour pouvoir solliciter la naturalisation commencerait à courir dès que la première requérante aurait obtenu le statut d’« apatride ». 89. Pour ce qui est des deux autres requérants, citoyens russes, la régularisation de leur situation dépend de celle de Svetlana. En effet, comme l’expose la lettre de la Direction, si la première requérante obtenait le statut d’« apatride », le deuxième requérant pourrait emprunter la voie prévue par l’article 26 § 1 de la nouvelle loi sur l’immigration et faire régulariser son séjour en tant que conjoint d’une apatride elle-même titulaire d’un permis de séjour permanent. Ainsi, par la décision de la Direction du 11 novembre 2003, le deuxième requérant se voit accorder un permis de séjour temporaire d’une validité de un an, sous réserve que son épouse fasse les démarches nécessaires pour obtenir le statut d’« apatride ». Passé ce délai, il obtiendra normalement un deuxième permis temporaire d’une validité de quatre ans, et enfin un permis permanent. Là encore, se référant à la lettre du chef de la Direction du 17 décembre 2002, le Gouvernement affirme que la Direction est prête à considérer le deuxième requérant comme résidant « légalement » en Lettonie, et que celui-ci ne sera pas obligé de quitter le pays pour solliciter un permis de séjour. En plus du droit de vivre en Lettonie et d’y jouir de tous les droits fondamentaux, cela signifiera pour lui le droit de travailler sans avoir à obtenir une autorisation spéciale. 90. Quant à la troisième requérante, elle se voit accorder un permis de séjour temporaire – aux mêmes conditions que son père – d’une validité de six mois. En outre, elle pourra à tout moment saisir le ministre de l’Intérieur d’une demande de régularisation extraordinaire, pour des « considérations d’ordre humanitaire », fondée sur l’article 23 § 3 de la loi sur l’immigration.</w:t>
      </w:r>
    </w:p>
    <w:p>
      <w:r>
        <w:rPr>
          <w:b/>
        </w:rPr>
        <w:t>E. 3</w:t>
      </w:r>
    </w:p>
    <w:p>
      <w:r>
        <w:t>Le gouvernement russe 91. Pour l’essentiel, le gouvernement russe se rallie aux thèses des requérants. Selon lui, la situation critiquée constitue une ingérence dans les droit des requérants au titre du paragraphe 1 de l’article 8 de la Convention, et cette ingérence ne remplit pas les exigences du second paragraphe dudit article. 92. Le gouvernement russe conteste la légalité de l’ingérence critiquée. En premier lieu, il soutient qu’en acceptant la révision – pour faits nouveaux – de son propre jugement du 28 octobre 1993, passé en force de chose jugée, le tribunal de première instance du district d’Alūksne a agi de manière arbitraire, contraire aux principes du droit universellement reconnus. En second lieu, le gouvernement russe rappelle qu’une restriction des droits inaliénables de la personne humaine ne peut être opérée qu’en vertu d’une disposition législative. Or, en l’espèce, l’argument du gouvernement défendeur d’après lequel l’enregistrement du domicile des requérants en Russie annulait automatiquement l’enregistrement effectué en Lettonie aurait pour seul fondement une pratique administrative interne qui serait manifestement insuffisante pour être qualifiée de « loi » au sens de l’article 8 § 2 de la Convention. Pour la même raison, le gouvernement défendeur n’aurait pas de raison d’affirmer que les requérants ont « illégalement » maintenu l’enregistrement de leur domicile sur le territoire letton, dès lors qu’aucune loi ne le prohiberait expressément. 93. Le gouvernement russe se rallie à la position des requérants quant à l’intensité des liens personnels et familiaux qu’ils possèdent en Lettonie. Tous trois seraient bien intégrés dans la société lettonne, et rien dans leur situation personnelle ou leur comportement ne montrerait une intention de quitter la Lettonie pour la Russie. Selon le gouvernement russe, le gouvernement défendeur n’est pas fondé à soutenir que les intéressés pourraient mener une vie privée et familiale normale en Russie, où ils n’ont ni logement ni emploi. En outre, la langue maternelle des requérants ne serait pas le russe mais l’oudmourte, langue appartenant à la famille finno ‑ ougrienne. 94. Le gouvernement russe conteste les thèses du gouvernement défendeur relatives à la justification de l’ingérence en cause. Tout d’abord, il doute fort que le principe général selon lequel les Etats ont le droit de contrôler l’entrée, le séjour et l’éloignement des non-nationaux puisse s’appliquer aux requérants ; en tant que ressortissants de l’ex-« république soviétique socialiste de Lettonie », ces derniers ne pourraient pas être assimilés à des « immigrants » au sens strict du terme. Pour la même raison, ils auraient un droit incontestable d’être reconnus comme étant des résidents permanents de Lettonie. Le gouvernement russe se rallie à l’argument des requérants selon lequel leurs manœuvres, avec deux passeports et deux domiciles enregistrés, constituaient un acte de détresse provoqué par la crainte qu’inspirait la politique imprévisible des autorités lettonnes à l’égard des ressortissants russophones de l’ex-URSS restés sur le territoire letton. En tout état de cause, le comportement reproché aux requérants représenterait une simple contravention administrative et non une infraction pénale. Le gouvernement russe ajoute que la thèse du gouvernement défendeur tendant à démontrer le caractère prétendument dangereux de l’armée soviétique est dénuée de fondement et que par ailleurs le deuxième requérant est depuis longtemps démobilisé et retraité. 95. A la lumière de tout ce qui précède, le gouvernement russe estime que l’ingérence litigieuse ne correspond à aucun des buts légitimes énumérés à l’article 8 § 2 de la Convention, et qu’elle n’est dès lors pas « nécessaire dans une société démocratique ». Les autorités lettonnes ont donc failli à leur obligation de ménager un juste équilibre entre les intérêts de l’Etat et ceux des requérants, ainsi qu’aux obligations positives leur incombant en vertu de la disposition précitée. 96. Le gouvernement russe est également convaincu que le droit de « résider sans entrave sur le territoire letton », garanti aux requérants en vertu de l’article 2 de l’accord russo-letton, devrait s’interpréter comme leur assurant un statut juridique « définitif » en Lettonie. 97. De même, le gouvernement russe critique l’argument selon lequel les requérants ne seraient actuellement confrontés à aucune tentative d’expulsion. A ses yeux, le seul fait que le gouvernement letton mentionne dans ses observations l’adoption éventuelle d’un arrêté d’expulsion équivaut à une menace d’expulsion pesant sur les intéressés. Pour ce qui est du recours judiciaire contre un tel arrêté, le gouvernement russe l’estime non effectif et inadéquat, eu égard à la durée excessive de la procédure de régularisation concernant les requérants (plus de neuf ans) et à l’exemple de la famille Slivenko, qui n’a pas pu obtenir gain de cause devant les tribunaux lettons (voir la décision Slivenko précitée). 98. S’agissant enfin des possibilités de régularisation de la situation des requérants selon le schéma proposé par le gouvernement letton, le gouvernement russe considère qu’une telle solution ne serait acceptable que si les intéressés envisageaient de vivre et de travailler en dehors du territoire letton, ce qui n’est pas le cas. En tout état de cause, la seule mesure adéquate et susceptible de remédier au grief en question consisterait à reconnaître aux requérants le statut de résidents permanents, statut que les autorités lettonnes leur refusent pourtant. B. Appréciation de la Cour 99. La Cour rappelle d’emblée que la Convention ne garantit pas, en tant que tel, le droit d’entrer ou de résider dans un Etat dont on n’est pas ressortissant, et que les Etats contractants ont, en vertu d’un principe général de droit international et sans préjudice des engagements découlant pour eux de traités, y compris la Convention, le droit de contrôler l’entrée, le séjour et l’éloignement des non-nationaux (voir, parmi beaucoup d’autres, Chahal c. Royaume-Uni , arrêt du 15 novembre 1996, Recueil 1996-V, p. 1853, § 73 ; El Boujaïdi c. France , arrêt du 26 septembre 1997 , Recueil 1997-VI, p. 1992, § 39 ; Baghli c. France , n o 34374/97, § 45, CEDH 1999-VIII ; et Boultif c. Suisse , n o 54273/00, § 39, CEDH 2001 ‑ IX). 100. Les requérants soutiennent que, compte tenu de leur vécu personnel en Lettonie, le principe énoncé ci-dessus ne s’applique pas à leur affaire. A cet égard, la Cour note que, dans le cadre matériel de la Convention, la seule disposition contenant une protection expresse contre un éloignement forcé du territoire national est l’article 3 du Protocole n o 4, dont le premier paragraphe prohibe l’expulsion, par un Etat, de ses propres ressortissants ; en revanche, ni la Convention ni ses Protocoles ne prévoient aucune interdiction générale d’expulser des ressortissants étrangers ou des apatrides. Dans la décision Slivenko c. Lettonie précitée, la Cour a considéré que la question de savoir si l’intéressé était un « ressortissant » (« national » dans la version anglaise) d’un Etat donné devait en principe être déterminée d’après le droit interne de cet Etat. Elle a également estimé qu’en Lettonie la notion de « ressortissant » au sens de l’article 3 du Protocole n o</w:t>
      </w:r>
    </w:p>
    <w:p>
      <w:r>
        <w:rPr>
          <w:b/>
        </w:rPr>
        <w:t>E. 4</w:t>
      </w:r>
    </w:p>
    <w:p>
      <w:r>
        <w:t>était identique à celle de « citoyenneté » ou de « nationalité », telle qu’elle est comprise par la loi lettonne pertinente ( op . cit. , §§ 77-78). Or, en l’espèce, il n’est pas contesté que les requérants n’ont à aucun moment été citoyens lettons après le 27 juin 1997, date de l’entrée en vigueur de la Convention à l’égard de la Lettonie. Rien n’indique non plus qu’ils pouvaient légalement prétendre à la nationalité lettonne selon les lois de cet Etat ni que celle-ci leur ait été refusée arbitrairement. 101. Néanmoins, la Cour rappelle que les décisions prises par les Etats en matière d’immigration peuvent, dans certains cas, constituer une ingérence dans l’exercice du droit au respect de la vie privée et familiale protégé par l’article 8 § 1 de la Convention, notamment lorsque les intéressés possèdent, dans l’Etat d’accueil, des liens personnels ou familiaux suffisamment forts qui risquent d’être gravement affectés en cas d’application d’une mesure d’éloignement. Pareille ingérence enfreint l’article 8, sauf si, « prévue par la loi », elle poursuit un ou plusieurs buts légitimes au regard du second paragraphe dudit article et apparaît « nécessaire dans une société démocratique » pour les atteindre (voir, par exemple, Moustaquim c. Belgique , arrêt du 18 février 1991, série A n o 193, p. 18, § 36 ; Dalia c. France , arrêt du 19 février 1998, Recueil 1998 ‑ I, p. 91, § 52 ; et Amrollahi c. Danemark , n o 56811/00, § 33, 11 juillet 2002). 102. En l’espèce, la Cour constate que les deux premiers requérants sont arrivés en Lettonie en 1969 et en 1968 respectivement, c’est-à-dire à l’âge de vingt ans pour Svetlana et de vingt-deux ans pour Arkadi. Depuis lors, ils ont toujours vécu en Lettonie. Quant à leur fille, la troisième requérante, elle est née en Lettonie en 1978 et y a toujours vécu. Dès lors, il ne prête pas à controverse qu’au cours de leur séjour sur le territoire letton les intéressés ont noué des relations personnelles, sociales et économiques qui sont constitutives de la vie privée de tout être humain. Force est à la Cour de conclure que la mesure imposée aux requérants a constitué une ingérence dans leur « vie privée », au sens de l’article 8 § 1 de la Convention (voir l’arrêt Slivenko c. Lettonie [GC], n o 48321/99, § 96, CEDH 2003-X). 103. En revanche, bien que les requérants aient à l’évidence une « vie familiale » établie en Lettonie, la situation qu’ils dénoncent n’a pas pour effet de briser cette vie. En outre, les deux premiers requérants ne peuvent plus invoquer l’existence d’une « vie familiale » par rapport à la troisième requérante, qui est majeure ; il en est de même des liens unissant les trois requérants à la fille aînée de la famille, M me Vizule (voir, mutatis mutandis , Kolosovski c. Lettonie (déc.), n o 50183/99, 29 janvier 2004). La Cour examinera donc le grief des requérants sous le volet de leur vie « privée » au sens de l’article 8 § 1 de la Convention. 104. Par ailleurs, la Cour note qu’aucun arrêté d’expulsion formel n’a été pris à l’encontre des requérants. Elle rappelle cependant qu’au même titre que toute autre disposition de la Convention ou de ses Protocoles, l’article 8 doit s’interpréter de façon à garantir des droits concrets et effectifs, et non théoriques et illusoires (voir, mutatis mutandis , Artico c. Italie , arrêt du 13 mai 1980, série A n o 37, p. 15-16, § 33, et Soering c. Royaume-Uni , arrêt du 7 juillet 1989, série A n o 161, p. 34, § 87). En outre, si l’article 8, consacré au droit au respect de la vie privée et familiale, tend pour l’essentiel à prémunir l’individu contre des ingérences arbitraires des pouvoirs publics, il ne se contente pas d’astreindre l’Etat à s’abstenir de pareilles ingérences : à cet engagement plutôt négatif peuvent s’ajouter des obligations positives inhérentes à un respect effectif de la vie privée et familiale (voir, par exemple, Gül c. Suisse , arrêt du 19 février 1996, Recueil 1996-I, pp. 174-175, § 38 ; Ignaccolo-Zenide c. Roumanie , n o 31679/96, § 94, CEDH 2000-I ; et Mehemi c. France (n o 2) , n o 53470/99, § 45, CEDH 2003 ‑ IV). En d’autres termes, il ne suffit pas que l’Etat d’accueil s’abstienne d’expulser l’intéressé ; encore faut-il qu’il lui assure, en prenant au besoin des mesures positives, la possibilité d’exercer sans entrave les droits en question. 105. En conséquence, la Cour estime que le refus prolongé des autorités lettonnes de reconnaître aux requérants le droit de résider en Lettonie à titre permanent constitue une ingérence dans l’exercice de leur droit au respect de la vie privée. Reste à savoir si cette ingérence est conforme au second paragraphe de l’article 8 de la Convention, c’est-à-dire si elle était « prévue par la loi », poursuivait un ou des buts légitimes qui sont énumérés dans cette disposition et était « nécessaire dans une société démocratique » pour atteindre le ou les buts en question. 106. S’agissant tout d’abord du critère de « légalité », au sens de l’article</w:t>
      </w:r>
    </w:p>
    <w:p>
      <w:r>
        <w:rPr>
          <w:b/>
        </w:rPr>
        <w:t>E. 8</w:t>
      </w:r>
    </w:p>
    <w:p>
      <w:r>
        <w:t>§ 2 de la Convention, la Cour reconnaît à l’instar du Gouvernement que l’ingérence était « prévue par la loi » (en l’espèce, l’article 1 § 1 de la loi sur les non-citoyens et l’article 35 de l’ancienne loi sur les étrangers). De même, compte tenu du fait que cette mesure visait à faire respecter la législation sur l’immigration, la Cour admet qu’elle poursuivait un « but légitime », à savoir « la défense de l’ordre ». 107. Quant à la question de savoir si la mesure litigieuse était « nécessaire dans une société démocratique », c’est-à-dire proportionnée au but légitime poursuivi, la Cour note que les requérants ont passé toute ou presque toute leur vie en Lettonie. Certes, ils ne sont pas d’origine lettonne ; il demeure toutefois qu’ils ont noué en Lettonie des liens personnels, sociaux et économiques assez forts pour que l’on puisse dire qu’ils sont suffisamment intégrés à la société lettonne, même si, comme le soutient le Gouvernement, leur niveau de connaissance du letton présente des lacunes (voir l’arrêt Slivenko précité, § 124). De même, bien que le deuxième requérant et la troisième requérante possèdent la nationalité russe et aient eu un domicile officiellement enregistré en Russie, il apparaît qu’aucun des trois intéressés n’a noué dans ce pays des liens personnels similaires à ceux qu’ils ont établis en Lettonie ( op.cit. , § 125). 108. Dans ces circonstances, la Cour estime que seules des raisons particulièrement graves, quant aux conditions imposées aux requérants pour l’obtention de leur régularisation, pourraient justifier un refus en la matière ; or, elle n’en a décelé aucune en l’espèce. Tout en reconnaissant le droit de chaque Etat de prendre des mesures effectives pour assurer le respect de la législation en matière d’immigration, elle considère qu’une mesure similaire à celle qu’ont subi les requérants ne pourrait être proportionnée qu’en présence d’agissements particulièrement dangereux de la part des intéressés. A cet égard, la Cour rappelle que la plupart des affaires semblables qu’elle a examinées sous l’angle de l’article 8 de la Convention portaient sur des situations où les requérants avaient été expulsés après avoir été condamnés pour des infractions pénales graves ; en revanche, dans la présente affaire, les requérants ne se sont vus infliger qu’une amende modérée, non qualifiée de pénale en droit letton (paragraphe 18 ci-dessus). 109. La Cour relève en outre que la régularisation de la situation du deuxième requérant et de la troisième requérante dépend de celle de la première requérante (paragraphes 35 et 87-90 ci-dessus). En d’autres termes, si la première requérante ne profite pas de l’opportunité qui lui est offerte de régulariser son séjour, la situation des deux autres requérants restera inchangée. La Cour considère qu’en subordonnant ainsi leur possibilité de mener une vie privée normale à des circonstances extérieures indépendantes de leur volonté, les autorités nationales, qui certes disposent d’une marge d’appréciation, n’ont pas adopté les mesures que l’on pouvait raisonnablement exiger d’elles en l’occurrence. 110. Dès lors, compte tenu de l’ensemble des circonstances, en particulier de la longue période d’incertitude et de précarité légale que les requérants ont vécue sur le territoire letton, la Cour estime que les autorités lettonnes ont outrepassé la marge d’appréciation dont jouissent les Etats contractants dans ce domaine, et qu’elles n’ont pas ménagé un juste équilibre entre, d’une part, le but légitime que constitue la défense de l’ordre et, d’autre part, l’intérêt des requérants à voir protéger leurs droits au titre de l’article 8. Elle ne saurait donc conclure que l’ingérence litigieuse était « nécessaire dans une société démocratique ». 111. Eu égard à tout ce qui précède, la Cour conclut qu’il y a eu en l’espèce violation de l’article 8 de la Convention. III. SUR LA VIOLATION ALLÉGUÉE DE L’ARTICLE 34 DE LA CONVENTION 112. Les requérants se plaignent que l’interrogatoire de la première d’entre eux par la police de sécurité, le 6 mars 2002, a constitué une entrave à l’exercice de leur droit de recours individuel, au mépris de la dernière phrase de l’article 34 de la Convention. Cette disposition est ainsi libellée : « La Cour peut être saisie d’une requête par toute personne physique, toute organisation non gouvernementale ou tout groupe de particuliers qui se prétend victime d’une violation par l’une des Hautes Parties contractantes des droits reconnus dans la Convention ou ses Protocoles. Les Hautes Parties contractantes s’engagent à n’entraver par aucune mesure l’exercice efficace de ce droit. » A. Thèses des comparants 1. Les requérants 113. Les requérants estiment que, vu la nature des questions posées par le policier à la première d’entre eux, l’interrogatoire susmentionné s’analyse en une tentative de pression et d’intimidation psychologique visant à leur faire retirer la requête introduite devant la Cour. Selon eux, une fois leurs griefs déclarés recevables, ils doivent être considérés comme placés sous la protection de la Cour, ce qui implique notamment l’interdiction, pour les autorités nationales, de se livrer à toute activité susceptible de porter atteinte au principe d’égalité des parties devant la Cour. Or, en demandant à la première requérante comment elle avait trouvé des avocats ou encore si ces avocats l’avaient menacée, la police de sécurité aurait violé ce principe. Les requérants estiment que ces questions n’ont aucun lien avec la nécessité d’instruire les cas possibles de corruption, motif avancé par le Gouvernement. 114. Par ailleurs, les requérants soutiennent avoir appris que les autorités lettonnes ont envisagé l’application d’autres mesures coercitives à leur égard, « y compris l’arrestation et la détention dans des établissements pénitentiaires ». De même, ils allèguent que leurs conversations téléphoniques sont constamment interceptées. 2. Le Gouvernement 115. Le Gouvernement conteste la thèse des requérants selon laquelle l’interrogatoire en cause avait pour but de contraindre la première d’entre eux à retirer sa requête. A cet égard, il rappelle que, lors de son interview par les journalistes russes, l’intéressée avait publiquement soutenu que plusieurs personnes dépourvues de permis de séjour et se trouvant dans une situation similaire à la sienne avaient pu régulariser leur situation en corrompant certains employés de la Direction. A la suite de cette déclaration, la police de sécurité avait ouvert une enquête préliminaire au motif que les faits relatés par la requérante, s’ils s’avéraient fondés, constituaient une grave infraction réprimée par le code pénal. Le Gouvernement souligne en particulier que l’interrogatoire litigieux était parfaitement légal, la police de sécurité ayant le droit de prendre de telles mesures. 116. En conséquence, l’interrogatoire subi par la requérante n’aurait pas eu pour objet sa requête auprès de la Cour, mais uniquement les actes de corruption prétendument commis par des fonctionnaires, actes évoqués pendant l’interview. 117. Le Gouvernement reconnaît que certaines questions posées par le policier portaient explicitement sur la procédure engagée par les requérants à Strasbourg. Toutefois, il considère que ces questions étaient logiques, puisque la première requérante avait déclaré avoir appris l’existence d’actes de corruption pendant la préparation de sa requête devant la Cour. En toute hypothèse, le Gouvernement estime que le contenu de ces questions ne peut s’analyser en une tentative d’intimidation. A l’appui de ses arguments, il présente copie d’une lettre que le chef de la police de sécurité a adressée à son agent le 16 juillet 2002 et dont les passages pertinents sont ainsi libellés : « (...) [N]ous vous informons que, le 6 mars 2002, conformément aux devoirs énumérés à l’article 15 de la loi relative aux établissements de sécurité étatique, y compris la lutte contre la corruption, il y a eu une conversation avec Svetlana Syssoyeva concernant les cas de corruption dont elle avait connaissance. [Cette] conversation ne peut pas être qualifiée d’interrogatoire [dès lors qu’] aucun acte procédural n’a été accompli à [cette] occasion et [que] S. Syssoyeva a refusé de fournir des informations sur les personnes qu’elle connaissait et qui auraient versé des pots-de-vin à des fonctionnaires (...). (...) Au début de la conversation, on a demandé à S. Syssoyeva si elle possédait des informations sur des cas de corruption active dans les établissements étatiques. Elle a répondu qu’elle connaissait plusieurs personnes russophones qui avaient versé des pots-de-vin pour obtenir des permis de séjour en Lettonie et des passeports de « non-citoyen [résident permanent] ». S. Syssoyeva a été invitée à révéler les noms de ces personnes, mais elle s’y est refusée. Elle a motivé ce refus par la crainte qu’au cours de l’enquête sur les cas de corruption ces personnes se voient confisquer leurs permis de séjour et leurs passeports de « non-citoyen ». Durant l’entretien, on a demandé à S. Syssoyeva quels étaient les problèmes pour lesquels [elle] avait saisi la Cour européenne des Droits de l’Homme. Elle a répondu que les problèmes avaient commencé en 1996, à cause du chef de la division régionale (...) [du Département], M. [S.R.], lequel avait refusé de lui accorder un permis de séjour en Lettonie et de lui délivrer un passeport de « non-citoyen ». Il y avait eu plusieurs procès, lesquels avaient abouti à des décisions qui lui étaient défavorables ; pour cette raison, elle avait décidé de demander l’aide de la Cour européenne des Droits de l’Homme. (...) » 118. A la lumière de ce qui précède, le Gouvernement conclut que l’interrogatoire critiqué n’était pas, dans sa globalité, lié à la requête de la première requérante en tant que telle, et ne saurait donc constituer une entrave à l’exercice par l’intéressée de son droit de recours individuel. Par ailleurs, le Gouvernement considère que les autres allégations des requérants, qui portent sur un risque éventuel d’arrestation et sur la prétendue interception de leurs conversations téléphoniques, sont dénuées de fondement. 3. Le gouvernement russe 119. Le gouvernement russe estime que, vu le contenu des questions que l’agent de la police de sécurité a posées à la première requérante, l’interrogatoire litigieux constitue une pression psychologique évidente liée à la présente requête devant la Cour. Il soutient en effet que compte tenu du rôle spécifique joué par les services de sécurité étatique dans l’ancienne Union soviétique, la plupart des gens ayant vécu sous le régime soviétique éprouvaient à l’époque et éprouvent aujourd’hui encore une crainte particulière à leur égard. Rien dans le dossier ne viendrait étayer l’allégation du Gouvernement selon lequel l’objet principal de la conversation était la corruption des fonctionnaires ; au contraire, le dialogue reproduit par la première requérante montrerait clairement que la police de sécurité voulait l’intimider, au mépris de la dernière phrase de l’article 34 de la Convention. S’agissant du contenu du dialogue en question, le gouvernement russe ne voit aucune raison de mettre en cause l’exactitude de la reconstitution faite par l’intéressée ; il insiste sur le fait que le gouvernement défendeur n’a lui ‑ même fourni aucune copie d’un procès-verbal ou d’un compte rendu officiel de la conversation litigieuse. En résumé, le gouvernement russe se dit convaincu que l’interrogatoire visait principalement à intimider les requérants afin de les contraindre à retirer leur requête, pendante devant la Cour. B. Appréciation de la Cour 120. La Cour rappelle que, pour que le mécanisme de recours individuel instauré par l’article 34 de la Convention soit efficace, il est de la plus haute importance que les requérants, déclarés ou potentiels, soient libres de communiquer avec la Cour, sans que les autorités ne les pressent en aucune manière de retirer ou modifier leurs griefs ( Akdivar et autres c. Turquie , arrêt du 16 septembre 1996, Recueil 1996-IV, p. 1219, § 105 ; Kurt c. Turquie , arrêt du 25 mai 1998, Recueil 1998-III, p. 1192, § 159 ; Ergi c. Turquie , arrêt du 28 juillet 1998, Recueil 1998-IV, p. 1784, § 105, et Salman c. Turquie [GC], n o 21986/93, § 130, CEDH 2000 ‑ VII). 121. Par le mot « presse[r] », il faut entendre non seulement la coercition directe et les actes flagrants d’intimidation contre le requérant, sa famille ou ses représentants légaux, mais aussi les actes ou contacts indirects et de mauvais aloi tendant à dissuader ou à décourager l’intéressé de se prévaloir du recours qu’offre la Convention. Pour déterminer si des contacts entre les autorités et un requérant déclaré ou potentiel constituent des pratiques inacceptables du point de vue de l’article 34, il faut tenir compte des circonstances particulières de la cause. A ce propos, il faut envisager la vulnérabilité du plaignant et le risque que les autorités ne l’influencent (voir, par exemple, Petra c. Roumanie , arrêt du 23 septembre 1998, Recueil 1998 ‑ VII, pp. 2854-2855, § 43 ; Assenov et autres c. Bulgarie , arrêt du 28 octobre 1998, Recueil 1998-VIII, p. 3304, § 170, et Tanrıkulu c. Turquie [GC], n o 23763/94, § 130, CEDH 1999-IV). 122. Dans la présente affaire, les parties s’accordent à dire que, le 6 mars 2002, la première requérante, M me Svetlana Syssoyeva, fut convoquée dans les locaux de la police de sécurité, où l’un des agents de cette institution lui posa un certain nombre de questions portant notamment sur sa requête devant la Cour. A cet égard, la Cour n’estime pas nécessaire de rechercher si cet entretien constituait un « interrogatoire » formel au sens du droit interne. 123. Concernant la teneur exacte des questions posées par l’agent, la Cour note qu’aucun procès-verbal ne fut dressé à l’issue de l’interrogatoire. En effet, le seul texte présenté à cet égard par la première requérante est un compte rendu qu’elle a elle-même rédigé de mémoire un mois environ après les faits, et dont le Gouvernement conteste l’exactitude (paragraphes 38-39 ci-dessus). Pour sa part, le Gouvernement a fourni copie d’une lettre du chef de la police de sécurité exposant sommairement le but et le déroulement de l’interrogatoire (paragraphe 117 ci-dessus). En l’absence d’éléments de preuve plus convaincants, la Cour n’est pas en mesure de vérifier le contenu des questions posées à la première requérante ; cependant, elle tiendra pour établis les éléments factuels au sujet desquels les deux documents sont concordants. 124. Ainsi, il ressort clairement des deux textes que, quelques jours avant l’interrogatoire, la première requérante avait accordé à une chaîne de télévision russe un entretien, durant lequel elle avait évoqué plusieurs cas de corruption d’agents de la Direction. La corruption dans le secteur public tombant sous le coup de la loi pénale et constituant une grave infraction, la requérante devait raisonnablement s’attendre à ce que la police ou le parquet s’intéressent aux faits allégués. De même, il apparaît que l’interrogatoire était conforme à la législation nationale, qui autorise la police de sécurité à instruire les délits de corruption et à demander des renseignements aux particuliers (paragraphes 47-50 ci-dessus). Dès lors, la Cour accepte l’explication du Gouvernement selon laquelle le principal objet de l’interrogatoire était l’allégation selon laquelle des fonctionnaires de la Direction étaient corrompus, et non la procédure engagée par les requérants à Strasbourg. 125. Toutefois, il n’est pas moins évident que, lors de sa conversation avec la première requérante, le policier lui posa plusieurs questions au sujet de sa requête devant la Cour. Contrairement au Gouvernement, qui justifie ces questions par les besoins de l’enquête, la Cour doute sérieusement de leur nécessité et de leur pertinence ; elle voit mal le rapport entre les actes de corruption prétendument commis par des tiers non identifiés et la présente requête. A cet égard, la Cour rappelle qu’il n’est guère approprié que les autorités d’un Etat défendeur entrent ainsi en contact direct avec un requérant ; même si un gouvernement a des raisons de croire que, dans une affaire donnée, il y a un quelconque abus du droit de recours individuel, il doit en avertir la Cour et lui faire part de ses doutes (voir Tanrıkulu précité, § 131, et Orhan c. Turquie , n o 25656/94, § 409, 18 juin 2002). En questionnant la première requérante sur les raisons pour lesquelles elle avait introduit une requête devant la Cour, l’agent de la police de sécurité est donc allé bien au-delà des limites circonscrites par l’objet de l’enquête. 126. Comme la Cour l’a déjà dit ci-dessus, pour déterminer si l’Etat a manqué à ses obligations au titre de l’article 34, il échet de tenir compte de l’ensemble des circonstances de la cause. En l’espèce, la Cour constate que l’interrogatoire de la première requérante en général et les questions qui lui ont été posées en particulier ont revêtu un caractère incident ; il ne ressort pas des pièces du dossier que les autorités lettonnes aient tenté de convoquer l’intéressée une seconde fois (voir, a contrario , l’arrêt Ergi c. Turquie précité, pp. 1761-1762 et 1784, §§ 26-28 et 105 respectivement). Il n’apparaît pas non plus que la police de sécurité ait contraint la première requérante à témoigner, que ce soit sur sa requête devant la Cour ou sur les actes de corruption allégués, qui étaient l’objet principal de l’interrogatoire. Au contraire, le refus de la requérante de dévoiler les noms des prétendus corrupteurs fut respecté et n’entraîna pour elle aucune conséquence juridique. En outre, et à supposer que le compte rendu dressé par la première requérante soit exact, la Cour observe que le langage utilisé par le policier était poli et ne contenait aucune expression, allusion ou insinuation menaçante ou tout simplement dissuasive (voir, a contrario , l’arrêt Petra précité, p. 2855, § 44). 127. De même, d’un point de vue global, la Cour constate que les questions posées par le policier étaient d’ordre général et ne tendaient ni à obtenir de l’intéressée qu’elle dévoilât le contenu des pièces du dossier des requérants ou de leur correspondance avec la Cour, ni à mettre en cause l’authenticité de leur requête ou leur capacité d’ester (voir, a contrario , Tanrıkulu précité, § 131). 128. Enfin, la Cour estime qu’elle ne peut pas négliger le contexte général dans lequel s’inscrivait l’interrogatoire litigieux. Il est vrai que, dans plusieurs affaires où les autorités publiques avaient interrogé les requérants au sujet de leurs requêtes, la Cour a constaté de ce fait un manquement aux obligations découlant de l’article 34 (ou de l’ancien article 25 § 1) de la Convention (voir les arrêts précités Akdivar et autres , p. 1219, § 105 ; Kurt , pp. 1192-1193, § 160, Tanrıkulu , § 130 ; Orhan , § 407, ainsi que Bilgin c. Turquie , n o 23819/94, § 133, 16 novembre 2000, Dulaş c. Turquie , n o 25801/94, § 79, 30 janvier 2001, et Akdeniz et autres c. Turquie , n o 23954/94, § 118, 31 mai 2001). Cependant, tenant compte des circonstances très particulières des affaires précitées, la Cour n’a décelé l’existence d’aucun facteur similaire ni en Lettonie en général, ni dans le cas précis des requérants. 129. En résumé, et à la lumière de toutes les circonstances pertinentes de l’affaire, la Cour estime que l’interrogatoire de la première requérante par l’agent de la police de sécurité, le 6 mars 2002, n’a pas atteint un niveau suffisant de gravité pour être qualifié d’acte de « pression », d’« intimidation » ou de « harcèlement » susceptible de pousser les requérants à retirer ou à modifier leur requête, ou de les entraver de toute autre manière dans l’exercice du droit de recours individuel. 130. S’agissant enfin de la prétendue interception des conversations téléphoniques des requérants, la Cour constate qu’il s’agit là d’une simple assertion non étayée sur le plan factuel et dépourvue d’éléments de preuve ( Michael Edward Cooke c. Autriche , n o 25878/94, § 48, 8 février 2000). Il en est de même de la plainte selon laquelle les autorités lettonnes auraient eu l’intention d’incarcérer les requérants. 131. En conséquence, l’Etat défendeur n’a pas manqué à ses obligations au titre de la dernière phrase de l’article 34 de la Convention. IV. SUR L’APPLICATION DE L’ARTICLE 41 DE LA CONVENTION 132.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133. Les requérants réclament une somme de 36 736 lati lettons (LVL) (soit environ 55 800 EUR) pour leurs « souffrances et mésaventures » dues à leur situation irrégulière sur le territoire letton, à leurs tentatives de régularisation et à leur procédure devant les tribunaux lettons. En outre, les requérants demandent que le Gouvernement leur présente officiellement ses excuses pour la convocation et l’interrogatoire de la première d’entre eux par la police de sécurité. 134. Le Gouvernement estime qu’un constat de violation représenterait en soi une réparation suffisante pour tout dommage moral éventuellement subi par les requérants. 135. Le gouvernement russe soutient en substance la position des requérants. 136. La Cour considère que les intéressés ont subi du fait de leur situation irrégulière sur le territoire letton un certain préjudice, qui a donné lieu au constat d’une violation de l’article 8 de la Convention dans leur chef. Statuant en équité comme le veut l’article 41 précité, elle alloue à chacun d’eux 5 000 EUR à ce titre. B. Frais et dépens 137. Au titre des frais et dépens, les requérants réclament une somme de 2 422,21 LVL (soit environ 3 680 EUR), ainsi ventilée : a) 1 300 LVL pour les honoraires des avocats qui les ont représentés devant les tribunaux lettons ; b) 429,20 LVL pour les frais de voyage qu’ils ont engagés pour se rendre à Riga en raison de leur requête, et pour rentrer à Alūksne ; c) 200 LVL pour les frais de traduction des pièces du dossier ; d) 66,50 LVL pour les photocopies tirées des pièces du dossier ; e) 18,41 LVL pour les frais de notaire engagés pour faire certifier deux pouvoirs de représentation qu’ils ont confiés à leurs avocats en 1998 et en 2001 ; f) 409,10 LVL pour d’autres dépenses liées à la situation irrégulière des requérants sur le sol letton. 138. Le Gouvernement conteste chacune des sommes mentionnées par les requérants, lesquelles seraient soit sans rapport avec l’objet de la requête, soit non étayées par des justificatifs appropriés, soit encore tout simplement dénuées de fondement. 139. Le gouvernement russe ne se prononce pas séparément sur ce point. 140. La Cour observe que les requérants ont bénéficié de son programme d’assistance judiciaire pour la présentation de leur cause lors de l’audience, l’élaboration de leurs observations et commentaires supplémentaires, la conduite des négociations en vue d’un règlement amiable et les frais de secrétariat. En conséquence, et en l’absence de nouveaux frais particuliers qui seraient venus se rajouter, il n’y a pas lieu de leur accorder de somme à ce titre. C. Intérêts moratoires 141.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