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ECTHR_CHAMBER 60579/00 vom 8. April 2008</w:t>
      </w:r>
    </w:p>
    <w:p>
      <w:r>
        <w:t>Ecthr Chamber, 2008-04-08, FR</w:t>
      </w:r>
    </w:p>
    <w:p>
      <w:r>
        <w:rPr>
          <w:b/>
        </w:rPr>
        <w:t xml:space="preserve">Quelle: </w:t>
      </w:r>
      <w:r>
        <w:t>https://mcp.opencaselaw.ch/entscheid/ecthr_chamber_60579_00</w:t>
      </w:r>
    </w:p>
    <w:p>
      <w:r>
        <w:t>FR: ECTHR_CHAMBER 60579/00 du 8 avril 2008</w:t>
      </w:r>
    </w:p>
    <w:p>
      <w:r>
        <w:t>IT: ECTHR_CHAMBER 60579/00 del 8 aprile 2008</w:t>
      </w:r>
    </w:p>
    <w:p>
      <w:pPr>
        <w:pStyle w:val="Heading2"/>
      </w:pPr>
      <w:r>
        <w:t>Regeste</w:t>
      </w:r>
    </w:p>
    <w:p>
      <w:r>
        <w:t>Violation de l'article 6 - Droit à un procès équitable; Violation: 6</w:t>
      </w:r>
    </w:p>
    <w:p>
      <w:pPr>
        <w:pStyle w:val="Heading2"/>
      </w:pPr>
      <w:r>
        <w:t>Erwägungen</w:t>
      </w:r>
    </w:p>
    <w:p>
      <w:r>
        <w:rPr>
          <w:b/>
        </w:rPr>
        <w:t>E. 22</w:t>
      </w:r>
    </w:p>
    <w:p>
      <w:r>
        <w:t>Le Gouvernement conteste d’emblée le nombre des requérants. D’après lui, pour se prétendre victime au sens de la Convention, il faut être partie dans la procédure interne qui est critiquée devant la Cour des droits de l’Homme. Se référant au jugement du 20 octobre 1997, d’après lui, seuls les requérants, dont les noms sont cités dans ce jugement rendu et approuvé par les juridictions internes, peuvent revendiquer la qualité de victime devant la Cour européenne des droits de l’Homme.</w:t>
      </w:r>
    </w:p>
    <w:p>
      <w:r>
        <w:rPr>
          <w:b/>
        </w:rPr>
        <w:t>E. 23</w:t>
      </w:r>
    </w:p>
    <w:p>
      <w:r>
        <w:t>La partie requérante présente à la Cour le jugement du 6 octobre 2004, rendu par le tribunal d’instance d’Ayaş établissant les héritiers de Hacı Tahir et Seyit Mehmet.</w:t>
      </w:r>
    </w:p>
    <w:p>
      <w:r>
        <w:rPr>
          <w:b/>
        </w:rPr>
        <w:t>E. 24</w:t>
      </w:r>
    </w:p>
    <w:p>
      <w:r>
        <w:t>La Cour constate qu’un désaccord existe effectivement quant à la situation de droit des requérants. Elle observe que la liste d’héritiers établie par le tribunal d’instance d’Ayaş (paragraphe 21 ci-dessus), correspond à celle des requérants, signataires de la présente requête. Cependant, le jugement du tribunal du cadastre de Polatlı, qui se trouve au cœur du litige entre les parties, énumère d’autres personnes, dont 13 seulement figurent parmi les requérants ; il s’agit de Ali Akkaya, Gülhan Güler Türker, Erdoğan İpek, Ali İpek, Zeynep Taşkın İpek, Güldane Esen İpek, Elife İpek, Pakize Yıldırım Yalçın, Habibe Balcı Yalçın, Nasibe Yalçın [2] , Hayati Yalçın, Mustafa Yalçın et Sıddıka 2 Bilgiç Yalçın.</w:t>
      </w:r>
    </w:p>
    <w:p>
      <w:r>
        <w:rPr>
          <w:b/>
        </w:rPr>
        <w:t>E. 25</w:t>
      </w:r>
    </w:p>
    <w:p>
      <w:r>
        <w:t>La Cour observe que le jugement du 20 octobre 1997 fait partie des actes décisifs de la procédure civile dont la durée est contestée devant elle. A cet égard, il convient de souligner que le jugement du 20 octobre 1997, après avoir acquis force de chose jugée, ne pouvait être opposable qu’aux requérants dont les noms sont cités de manière exhaustive dans la partie introductive du jugement en qualité de partie défenderesse. En conséquence, la Cour convient avec le Gouvernement que les requérants qui n’ont pas été mentionnés expressément dans le jugement du tribunal du cadastre daté du 20 octobre 1997 ne sauraient prétendre au statut de victime devant la Cour.</w:t>
      </w:r>
    </w:p>
    <w:p>
      <w:r>
        <w:rPr>
          <w:b/>
        </w:rPr>
        <w:t>E. 26</w:t>
      </w:r>
    </w:p>
    <w:p>
      <w:r>
        <w:t>Il s’ensuit que l’exception préliminaire du Gouvernement doit être retenue s’agissant du nombre des requérants. Ainsi, seuls ceux qui ont été cités par le jugement à l’issue de la procédure civile contestée devant la Cour, peuvent être considérés comme victimes au sens de l’article 34 de la Convention. Ces requérants sont donc : Ali Akkaya, Gülhan Güler Türker, Erdoğan İpek, Ali İpek, Zeynep Taşkın İpek, Güldane Esen İpek, Elife İpek, Pakize Yıldırım Yalçın, Habibe Balcı Yalçın, Nasibe Yalçın 1 , Hayati Yalçın, Mustafa Yalçın et Sıddıka 2 Bilgiç Yalçın. Par conséquent, la Cour rejette la requête dans le chef du restant des intéressés, en application de l’article 35 §§ 1 et 4 de la Convention.</w:t>
      </w:r>
    </w:p>
    <w:p>
      <w:r>
        <w:rPr>
          <w:b/>
        </w:rPr>
        <w:t>E. 27</w:t>
      </w:r>
    </w:p>
    <w:p>
      <w:r>
        <w:t>Elle constate que, dans le cadre ainsi limité, la requête ne se heurte à aucun autre motif d’irrecevabilité. Elle la déclare donc recevable. B. Sur le fond</w:t>
      </w:r>
    </w:p>
    <w:p>
      <w:r>
        <w:rPr>
          <w:b/>
        </w:rPr>
        <w:t>E. 28</w:t>
      </w:r>
    </w:p>
    <w:p>
      <w:r>
        <w:t>Les requérants allèguent que la durée de la procédure civile a méconnu le principe du « délai raisonnable » tel que prévu par l’article 6 § 1 de la Convention. Ils se plaignent également de n’avoir pas été informés de la participation du Trésor public à la procédure. L’article 6 § 1 de la Convention est ainsi libellé en ses parties pertinentes : « Toute personne a droit à ce que sa cause soit entendue équitablement (...) dans un délai raisonnable, par un tribunal (...), qui décidera (...) des contestations sur ses droits et obligations de caractère civil (...) »</w:t>
      </w:r>
    </w:p>
    <w:p>
      <w:r>
        <w:rPr>
          <w:b/>
        </w:rPr>
        <w:t>E. 29</w:t>
      </w:r>
    </w:p>
    <w:p>
      <w:r>
        <w:t>Le Gouvernement s’oppose à cette thèse.</w:t>
      </w:r>
    </w:p>
    <w:p>
      <w:r>
        <w:rPr>
          <w:b/>
        </w:rPr>
        <w:t>E. 30</w:t>
      </w:r>
    </w:p>
    <w:p>
      <w:r>
        <w:t>La Cour note que la procédure litigieuse a débuté le 15 avril 1953 et s’est soldée le 28 avril 2000 par le rejet du recours en rectification d’arrêt des requérants. A cet égard, il est vrai que la compétence ratione temporis de la Cour ne couvre pas la période antérieure au 28 janvier 1987, date de prise d’effet de la reconnaissance du droit de recours individuel par la Turquie. A partir de cette date jusqu’au 28 avril 2000, plus de treize ans et trois mois, pour deux degrés de juridiction, se sont écoulés, étant entendu que jusqu’alors, près de trente-quatre ans s’étaient déjà écoulés.</w:t>
      </w:r>
    </w:p>
    <w:p>
      <w:r>
        <w:rPr>
          <w:b/>
        </w:rPr>
        <w:t>E. 31</w:t>
      </w:r>
    </w:p>
    <w:p>
      <w:r>
        <w:t>La Cour rappelle que le caractère raisonnable de la durée d’une procédure s’apprécie suivant les circonstances de la cause et eu égard aux critères consacrés par sa jurisprudence, en particulier la complexité de l’affaire, le comportement des requérants et celui des autorités compétentes ainsi que l’enjeu du litige pour les intéressés (voir, parmi beaucoup d’autres, Frydlender c. France [GC], n o 30979/96, §§ 43-45, CEDH 2000-VII). Dans les circonstances de la présente affaire, il faut également tenir compte de l’état où celle-ci se trouvait avant la reconnaissance par la Turquie du droit de recours individuel ( Cankoçak c. Turquie , n os 25182/94 et 26956/95, § 25, 20 février 2001).</w:t>
      </w:r>
    </w:p>
    <w:p>
      <w:r>
        <w:rPr>
          <w:b/>
        </w:rPr>
        <w:t>E. 32</w:t>
      </w:r>
    </w:p>
    <w:p>
      <w:r>
        <w:t>La Cour constate que ni la complexité de l’affaire ni le comportement des requérants n’expliquent la durée de la procédure. Elle souligne qu’il incombe aux Etats contractants d’organiser leur système judiciaire de telle sorte que leurs juridictions puissent garantir à chacun le droit d’obtenir une décision définitive sur les contestations relatives à ses droits et obligations de caractère civil dans un délai raisonnable ( Frydlender , précité).</w:t>
      </w:r>
    </w:p>
    <w:p>
      <w:r>
        <w:rPr>
          <w:b/>
        </w:rPr>
        <w:t>E. 33</w:t>
      </w:r>
    </w:p>
    <w:p>
      <w:r>
        <w:t>La Cour a traité à maintes reprises d’affaires soulevant des questions semblables à celle de la cause des requérants et a constaté la violation de l’article 6 § 1 de la Convention. Après avoir examiné tous les éléments qui lui ont été soumis, la Cour considère que le Gouvernement n’a exposé aucun fait ni argument convaincant pouvant mener à une conclusion différente dans le cas présent. Compte tenu de sa jurisprudence en la matière, elle estime qu’en l’espèce la durée de la procédure litigieuse a été excessive et n’a pas répondu à l’exigence du « délai raisonnable ».</w:t>
      </w:r>
    </w:p>
    <w:p>
      <w:r>
        <w:rPr>
          <w:b/>
        </w:rPr>
        <w:t>E. 34</w:t>
      </w:r>
    </w:p>
    <w:p>
      <w:r>
        <w:t>Partant, il y a eu violation de l’article 6 § 1 de la Convention.</w:t>
      </w:r>
    </w:p>
    <w:p>
      <w:r>
        <w:rPr>
          <w:b/>
        </w:rPr>
        <w:t>E. 35</w:t>
      </w:r>
    </w:p>
    <w:p>
      <w:r>
        <w:t>Au vu de ce qui précède, la Cour estime qu’il n’est pas nécessaire d’examiner séparément l’autre grief tiré de l’article 6. II. SUR L’APPLICATION DE L’ARTICLE 41 DE LA CONVENTION</w:t>
      </w:r>
    </w:p>
    <w:p>
      <w:r>
        <w:rPr>
          <w:b/>
        </w:rPr>
        <w:t>E. 36</w:t>
      </w:r>
    </w:p>
    <w:p>
      <w:r>
        <w:t>Aux termes de l ’ article 41 de la Convention, « Si la Cour déclare qu’il y a eu violation de la Convention ou de ses Protocoles, et si le droit interne de la Haute Partie contractante ne permet d’effacer qu’imparfaitement les conséquences de cette violation, la Cour accorde à la partie lésée, s’il y a lieu, une satisfaction équitable. » A. Dommage</w:t>
      </w:r>
    </w:p>
    <w:p>
      <w:r>
        <w:rPr>
          <w:b/>
        </w:rPr>
        <w:t>E. 37</w:t>
      </w:r>
    </w:p>
    <w:p>
      <w:r>
        <w:t>Au titre du préjudice matériel, les requérants réclament 25 % de la valeur marchande du terrain, qu’ils évaluent à 15 324 381,63 euros (EUR). Pour le préjudice moral, ils demandent 5 000 euros chacun.</w:t>
      </w:r>
    </w:p>
    <w:p>
      <w:r>
        <w:rPr>
          <w:b/>
        </w:rPr>
        <w:t>E. 38</w:t>
      </w:r>
    </w:p>
    <w:p>
      <w:r>
        <w:t>Le Gouvernement conteste ces prétentions.</w:t>
      </w:r>
    </w:p>
    <w:p>
      <w:r>
        <w:rPr>
          <w:b/>
        </w:rPr>
        <w:t>E. 39</w:t>
      </w:r>
    </w:p>
    <w:p>
      <w:r>
        <w:t>La Cour n’aperçoit pas de lien de causalité entre la violation constatée et le dommage matériel allégué ; elle rejette donc cette partie de la demande. En revanche, elle estime que les requérants ont subi un tort moral certain, en raison du prolongement de la procédure litigieuse au-delà du « délai raisonnable ». Statuant en équité, elle accorde 7 200 EUR à chacun des treize requérants cités au paragraphe 26 ci-dessus ( Arvanitaki-Roboti et autres c. Grèce [GC], n o 27278/03, §§ 34-36, 15 février 2008 ; Kakamoukas et autres c. Grèce [GC], n o 38311/02, §§ 46-48, 15 février 2008). B. Frais et dépens</w:t>
      </w:r>
    </w:p>
    <w:p>
      <w:r>
        <w:rPr>
          <w:b/>
        </w:rPr>
        <w:t>E. 40</w:t>
      </w:r>
    </w:p>
    <w:p>
      <w:r>
        <w:t>Les requérants demandent à la Cour de tenir compte des frais et dépens encourus devant les tribunaux internes et devant elle, sans présenter de documents justificatifs.</w:t>
      </w:r>
    </w:p>
    <w:p>
      <w:r>
        <w:rPr>
          <w:b/>
        </w:rPr>
        <w:t>E. 41</w:t>
      </w:r>
    </w:p>
    <w:p>
      <w:r>
        <w:t>Le Gouvernement s’oppose au remboursement des frais sans pièces justificatives.</w:t>
      </w:r>
    </w:p>
    <w:p>
      <w:r>
        <w:rPr>
          <w:b/>
        </w:rPr>
        <w:t>E. 42</w:t>
      </w:r>
    </w:p>
    <w:p>
      <w:r>
        <w:t>Selon la jurisprudence de la Cour, un requérant ne peut obtenir le remboursement de ses frais et dépens que dans la mesure où se trouvent établis leur réalité, leur nécessité et le caractère raisonnable de leur taux. En l’espèce et compte tenu des éléments en sa possession et des critères susmentionnés, la Cour rejette la demande relative aux frais et dépens. C. Intérêts moratoires</w:t>
      </w:r>
    </w:p>
    <w:p>
      <w:r>
        <w:rPr>
          <w:b/>
        </w:rPr>
        <w:t>E. 43</w:t>
      </w:r>
    </w:p>
    <w:p>
      <w:r>
        <w:t>La Cour juge approprié de baser le taux des intérêts moratoires sur le taux d’intérêt de la facilité de prêt marginal de la Banque centrale européenne majoré de trois points de pourcentage.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