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57467/15 vom 1. Oktober 2019</w:t>
      </w:r>
    </w:p>
    <w:p>
      <w:r>
        <w:t>Ecthr Chamber, 2019-10-01, FR</w:t>
      </w:r>
    </w:p>
    <w:p>
      <w:r>
        <w:rPr>
          <w:b/>
        </w:rPr>
        <w:t xml:space="preserve">Quelle: </w:t>
      </w:r>
      <w:r>
        <w:t>https://mcp.opencaselaw.ch/entscheid/ecthr_chamber_57467_15</w:t>
      </w:r>
    </w:p>
    <w:p>
      <w:r>
        <w:t>FR: ECTHR_CHAMBER 57467/15 du 1 octobre 2019</w:t>
      </w:r>
    </w:p>
    <w:p>
      <w:r>
        <w:t>IT: ECTHR_CHAMBER 57467/15 del 1 ottobre 2019</w:t>
      </w:r>
    </w:p>
    <w:p>
      <w:pPr>
        <w:pStyle w:val="Heading2"/>
      </w:pPr>
      <w:r>
        <w:t>Regeste</w:t>
      </w:r>
    </w:p>
    <w:p>
      <w:r>
        <w:t>Violation de l'article 3 - Interdiction de la torture (Article 3 - Expulsion) (Conditionnel) (Turquie);Préjudice moral - constat de violation suffisant (Article 41 - Préjudice moral;Satisfaction équitable); Violation: 3</w:t>
      </w:r>
    </w:p>
    <w:p>
      <w:pPr>
        <w:pStyle w:val="Heading2"/>
      </w:pPr>
      <w:r>
        <w:t>Erwägungen</w:t>
      </w:r>
    </w:p>
    <w:p>
      <w:r>
        <w:rPr>
          <w:b/>
        </w:rPr>
        <w:t>E. 35</w:t>
      </w:r>
    </w:p>
    <w:p>
      <w:r>
        <w:t>Le requérant alléguait qu’en raison de son état de santé mentale, son renvoi en Turquie emporterait violation de l’article 3 de la Convention , qui est ainsi libellé : « Nul ne peut être soumis à la torture ni à des peines ou traitements inhumains ou dégradants. » A. Sur la recevabilité</w:t>
      </w:r>
    </w:p>
    <w:p>
      <w:r>
        <w:rPr>
          <w:b/>
        </w:rPr>
        <w:t>E. 36</w:t>
      </w:r>
    </w:p>
    <w:p>
      <w:r>
        <w:t>Constatant qu’il n’est pas manifestement mal fondé au sens de l’article 35 § 3 a) de la Convention et qu’il n’est pas irrecevable pour d’autres motifs, la Cour déclare ce grief recevable . B. Sur le fond 1. Thèses des parties</w:t>
      </w:r>
    </w:p>
    <w:p>
      <w:r>
        <w:rPr>
          <w:b/>
        </w:rPr>
        <w:t>E. 37</w:t>
      </w:r>
    </w:p>
    <w:p>
      <w:r>
        <w:t>Le requérant allègue qu’il ne pourrait pas réellement recevoir le traitement dont il a besoin s’il était renvoyé en Turquie. Il soutient que cette situation entraînerait chez lui une rechute, dont le risque et les souffrances associés emporteraient violation de l’article 3 de la Convention. Il renvoie en particulier à la conclusion à laquelle le tribunal de première instance est parvenu dans la décision qu’il a rendue le 14 octobre 2014 (paragraphe 27 ci-dessus) ainsi qu’à la déclaration de P.L., le psychiatre consultant qui suivait son traitement et l’évolution de son état (paragraphe 25 ci-dessus). Il avance que P.L. a indiqué que, pour éviter une rechute, le requérant doit, en complément des médicaments qui lui sont prescrits, être suivi régulièrement par un référent, bénéficier d’un plan de suivi destiné à contrôler qu’il se conforme au traitement médical qui lui est prescrit et être accompagné par un assistant social chargé de l’aider à gérer ses problèmes, de dépendance notamment, ainsi que par une personne chargée de s’assurer qu’il évolue dans un environnement favorable et qu’on lui propose une occupation. Il ajoute que P.L. a également dit qu’une rechute pourrait avoir de graves conséquences pour lui-même et pour son environnement, et qu’elle pourrait le rendre très dangereux. Il argue en outre que le Leponex peut entraîner une défaillance du système immunitaire et qu’il doit donc faire régulièrement des examens sanguins afin de surveiller scrupuleusement l’apparition éventuelle d’un tel effet indésirable. Il explique qu’en cas d’apparition d’un tel symptôme il devra interrompre son traitement immédiatement. Il soutient qu’en cas de renvoi en Turquie il ne serait pas en mesure de reconnaître une telle défaillance de son système immunitaire, ce qui l’empêcherait donc de consulter un médecin à temps .</w:t>
      </w:r>
    </w:p>
    <w:p>
      <w:r>
        <w:rPr>
          <w:b/>
        </w:rPr>
        <w:t>E. 38</w:t>
      </w:r>
    </w:p>
    <w:p>
      <w:r>
        <w:t>Le requérant répète qu’il n’a aucun lien social ou familial en Turquie. Il allègue que les spécialistes danois à l’origine des rapports médicaux et psychiatriques le concernant ont jugé l’existence d’un tel lien essentielle à l’amélioration de son état et à l’élimination de ses graves problèmes de santé et troubles mentaux.</w:t>
      </w:r>
    </w:p>
    <w:p>
      <w:r>
        <w:rPr>
          <w:b/>
        </w:rPr>
        <w:t>E. 39</w:t>
      </w:r>
    </w:p>
    <w:p>
      <w:r>
        <w:t>Le Gouvernement estime que l’exécution de la décision d’expulsion visant le requérant n’emporterait pas violation de l’article 3 de la Convention.</w:t>
      </w:r>
    </w:p>
    <w:p>
      <w:r>
        <w:rPr>
          <w:b/>
        </w:rPr>
        <w:t>E. 40</w:t>
      </w:r>
    </w:p>
    <w:p>
      <w:r>
        <w:t>Il soutient qu’au cours de la procédure de révocation, les juridictions internes ont procédé à une appréciation approfondie, sous l’angle de l’article 3 et en parfaite conformité avec les principes généraux établis ultérieurement dans l’affaire Paposhvili c. Belgique ([GC], n o 41738/10, 13 décembre 2016), de l’impact qu’aurait l’éloignement du requérant sur son état de santé .</w:t>
      </w:r>
    </w:p>
    <w:p>
      <w:r>
        <w:rPr>
          <w:b/>
        </w:rPr>
        <w:t>E. 41</w:t>
      </w:r>
    </w:p>
    <w:p>
      <w:r>
        <w:t>Le Gouvernement considère en effet que dans son arrêt du 13 janvier 2015, la cour d’appel a expressément tenu compte de plusieurs facteurs ‑ l’accessibilité des soins en Turquie, la possibilité pour le requérant d’en bénéficier, le coût des médicaments et traitements, la distance que l’intéressé aurait à parcourir pour recevoir les soins nécessaires ainsi que la possibilité pour le requérant d’obtenir une assistance médicale dans sa langue, le kurde ‑ , et qu’elle a conclu que le requérant pourrait bénéficier dans la région de Konya, en Turquie, du même traitement que celui qu’il suit au Danemark.</w:t>
      </w:r>
    </w:p>
    <w:p>
      <w:r>
        <w:rPr>
          <w:b/>
        </w:rPr>
        <w:t>E. 42</w:t>
      </w:r>
    </w:p>
    <w:p>
      <w:r>
        <w:t>Le Gouvernement soutient également que la Cour a précédemment conclu qu’il n’existait pas un risque suffisamment réel pour que l’expulsion d’une personne souffrant de schizophrénie soit incompatible avec les normes de l’article 3 ( Bensaid c. Royaume-Uni , n o 44599/98, CEDH 2001 ‑ I ). D’après lui, la Cour a établi dans l’affaire en question qu’en Algérie, où il devait être renvoyé, le requérant ne pourrait pas bénéficier gratuitement des médicaments dont il avait besoin et que l’hôpital le plus proche se trouvait à 80 km du village où résidait sa famille. Elle aurait conclu qu’une aggravation de la maladie mentale dont il souffrait déjà pourrait provoquer une rechute, et que les souffrances qui accompagneraient pareille rechute pourraient en principe relever de l’article 3. Elle aurait cependant observé que le requérant risquait une rechute même s’il demeurait au Royaume-Uni puisque sa maladie était de longue durée et qu’elle exigeait un suivi constant. En ce qui concerne le cas d’espèce, le Gouvernement soutient que le requérant aura une centaine de kilomètres à parcourir pour se rendre à l’hôpital le plus proche (soit seulement 20 km de plus que le requérant dans l’affaire précitée), qu’il aura la possibilité de suivre en Turquie le même traitement que celui prescrit au Danemark, et que des hôpitaux publics et des établissements de santé privés ayant conclu un accord avec le ministère turc de la Santé dispensent des soins psychiatriques. Il ajoute que le requérant pourra prétendre à une prise en charge totale ou partielle de son traitement si ses revenus sont faibles ou inexistants, voire, éventuellement, à l’exonération du ticket modérateur, dont le montant correspond à 20 % du coût des médicaments. 2. Appréciation de la Cour a) Principes généraux</w:t>
      </w:r>
    </w:p>
    <w:p>
      <w:r>
        <w:rPr>
          <w:b/>
        </w:rPr>
        <w:t>E. 43</w:t>
      </w:r>
    </w:p>
    <w:p>
      <w:r>
        <w:t>La Cour a toujours affirmé que les États parties ont, en vertu d’un principe de droit international bien établi et sans préjudice des engagements découlant pour eux de traités, le droit de contrôler l’entrée, le séjour et l’éloignement des non-nationaux. L’expulsion d’un étranger par un État partie peut toutefois soulever un problème au regard de l’article 3 de la Convention lorsqu’il y a des motifs sérieux et avérés de croire que l’intéressé courra, dans le pays de destination, un risque réel d’être soumis à la torture ou à des peines ou traitements inhumains ou dégradants (voir, entre autres, Paposhvili , précité, §§ 172-173).</w:t>
      </w:r>
    </w:p>
    <w:p>
      <w:r>
        <w:rPr>
          <w:b/>
        </w:rPr>
        <w:t>E. 44</w:t>
      </w:r>
    </w:p>
    <w:p>
      <w:r>
        <w:t>La souffrance due à une maladie survenant naturellement peut relever de l’article 3 si elle se trouve ou risque de se trouver exacerbée par un traitement – que celui-ci résulte de conditions de détention, d’une expulsion ou d’autres mesures – dont les autorités peuvent être tenues pour responsables ( Paposhvili , précité, § 175). La Cour est parvenue à cette conclusion dans l’affaire D. c. Royaume-Uni (2 mai 1997, Recueil des arrêts et décisions 1997 ‑ III), qui concernait un malade en phase terminale. La Cour a jugé que l’affaire était marquée par des « circonstances très exceptionnelles » et que les considérations humanitaires impérieuses qui entraient donc en jeu militaient contre l’expulsion du requérant ( ibidem , § 54). La Cour a précisé qu’à côté des situations de décès imminent, il pouvait exister d’« autres cas très exceptionnels » d’éloignement dans lesquels pouvaient entrer en jeu des considérations humanitaires tout aussi impérieuses s’opposant à l’éloignement des intéressés (voir, entre autres, N. c. Royaume-Uni [GC], n o 26565/05, § 43, CEDH 2008 ).</w:t>
      </w:r>
    </w:p>
    <w:p>
      <w:r>
        <w:rPr>
          <w:b/>
        </w:rPr>
        <w:t>E. 45</w:t>
      </w:r>
    </w:p>
    <w:p>
      <w:r>
        <w:t>Dans l’arrêt Paposhvili (précité, § 183), la Cour a précisé qu’il faut entendre par « autres cas très exceptionnels » «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Elle a également précisé « que ces cas correspondent à un seuil élevé pour l’application de l’article 3 de la Convention dans les affaires relatives à l’éloignement des étrangers gravement malades. »</w:t>
      </w:r>
    </w:p>
    <w:p>
      <w:r>
        <w:rPr>
          <w:b/>
        </w:rPr>
        <w:t>E. 46</w:t>
      </w:r>
    </w:p>
    <w:p>
      <w:r>
        <w:t>En ce qui concerne les facteurs à prendre en considération, il y a lieu pour les autorités de l’État de renvoi de vérifier au cas par cas si les soins généralement disponibles dans l’État de destination sont suffisants et adéquats en pratique pour traiter la pathologie dont souffre l’intéressé afin d’éviter qu’il soit exposé à un traitement contraire à l’article 3 ( ibidem , § 183). Le paramètre de référence n’est pas le niveau de soins existant dans l’État de renvoi ; il ne s’agit pas, en effet, de savoir si les soins dans l’État de destination seront équivalents ou inférieurs à ceux qu’offre le système de santé de l’État de renvoi. Il ne saurait pas non plus être déduit de l’article 3 un droit à bénéficier dans l’État de destination d’un traitement particulier qui ne serait pas disponible pour le reste de la population (ibidem , § 189) .</w:t>
      </w:r>
    </w:p>
    <w:p>
      <w:r>
        <w:rPr>
          <w:b/>
        </w:rPr>
        <w:t>E. 47</w:t>
      </w:r>
    </w:p>
    <w:p>
      <w:r>
        <w:t>Les autorités doivent aussi s’interroger sur la possibilité effective pour l’intéressé d’avoir accès à ces soins et équipements dans l’État de destination. À cet égard, la Cour rappelle qu’elle a déjà examiné l’accessibilité des soins et évoqué la prise en considération du coût des médicaments et traitements, l’existence d’un réseau social et familial, et la distance géographique pour accéder aux soins requis ( ibidem , § 190 et références citées).</w:t>
      </w:r>
    </w:p>
    <w:p>
      <w:r>
        <w:rPr>
          <w:b/>
        </w:rPr>
        <w:t>E. 48</w:t>
      </w:r>
    </w:p>
    <w:p>
      <w:r>
        <w:t>Dans l’hypothèse où, après l’examen des données de la cause, de sérieux doutes persistent quant à l’impact de l’éloignement sur les intéressés – en raison de la situation générale dans l’État de destination et/ou de leur situation individuelle – il appartient à l’État de renvoi d’obtenir de l’État de destination, comme condition préalable à l’éloignement, des assurances individuelles et suffisantes que des traitements adéquats seront disponibles et accessibles aux intéressés afin qu’ils ne se retrouvent pas dans une situation contraire à l’article 3 (sur l’obtention d’assurances individuelles, voir Tarakhel c. Suisse [GC], n o 29217/12, § 120, CEDH 2014 (extraits) ).</w:t>
      </w:r>
    </w:p>
    <w:p>
      <w:r>
        <w:rPr>
          <w:b/>
        </w:rPr>
        <w:t>E. 49</w:t>
      </w:r>
    </w:p>
    <w:p>
      <w:r>
        <w:t>Enfin, la Cour note que, dans les affaires concernant l’expulsion d’un requérant malade, elle doit examiner les conséquences prévisibles de l’éloignement ( Paposhvili, précité, § 187). En conséquence, dans les affaires où le requérant n’a pas encore été expulsé, la date à retenir pour l’appréciation doit être celle de l’examen de l’affaire par la Cour, et celle-ci peut prendre en compte des informations apparues après l’adoption par les autorités internes de la décision définitive (voir, par exemple, mutatis mutandis , F.G. c. Suède [GC], n o 43611/11, § 115, 23 mars 2016 ). b) Application des principes généraux au cas d’espèce</w:t>
      </w:r>
    </w:p>
    <w:p>
      <w:r>
        <w:rPr>
          <w:b/>
        </w:rPr>
        <w:t>E. 50</w:t>
      </w:r>
    </w:p>
    <w:p>
      <w:r>
        <w:t>Faisant application de ces principes en l’espèce, la Cour note d’emblée que le tribunal de première instance et la cour d’appel ont rendu leurs décisions le 14 octobre 2014 et le 13 janvier 2015 respectivement et que la commission d’appel a rejeté le 20 mai 2015 la demande de pourvoi dont le requérant l’avait saisie. Elle constate donc que ces décisions sont toutes antérieures à l’arrêt Paposhvili , que la Cour a rendu le 13 décembre 2016. 51. La Cour observe néanmoins que les deux juridictions ont cherché à déterminer si le traitement médical du requérant était disponible en Turquie et si le requérant pourrait de fait y avoir accès, en tenant compte du coût des médicaments et des soins nécessaires, de la distance à parcourir pour bénéficier des soins et de la faculté du requérant à obtenir une assistance dans sa langue dans le cadre de sa prise en charge médicale. Elle estime donc que l’examen réalisé par les deux juridictions reflète les critères posés par l’arrêt Paposhvili . 52. Les juridictions internes ont tenu compte des déclarations de plusieurs spécialistes ainsi que d’informations pertinentes obtenues auprès des autorités du pays concerné, et notamment d’informations communiquées par les services de sécurité sociale turcs, par un médecin exerçant dans la province de Konya dans une clinique de désintoxication sous l’égide de l’hôpital public et par un hôpital public de Konya, qui ont tous confirmé qu’il était possible de bénéficier en hôpital psychiatrique d’un traitement intensif répondant aux besoins du requérant (paragraphe 24 ci ‑ dessus). Les juridictions internes ont considéré que les médicaments que le requérant prenait étaient disponibles en Turquie, y compris dans la région où il s’installerait le plus probablement. 53. La Cour relève que ni le requérant ni le Gouvernement, que ce soit dans le formulaire de requête ou dans leurs observations respectives, ne mentionnent ni n’avancent des informations factuelles qui auraient été obtenues ultérieurement concernant l’accessibilité du traitement médical et psychiatrique en Turquie ou une dégradation ou une évolution de l’état de santé du requérant ou de sa situation en général. Elle examinera donc l’affaire à la lumière des informations qui étaient déjà disponibles au moment où les autorités internes ont rendu leurs décisions respectives. 54. En ce qui concerne la possibilité réelle que le requérant ait accès au traitement médical dont il a besoin, le tribunal de première instance a jugé établi, sur la base des informations médicales à sa disposition, que le requérant serait exposé à un risque élevé de rupture du traitement et de reprise de la consommation de stupéfiants et, partant, d’une aggravation de ses symptômes psychotiques s’il ne bénéficiait pas à sa sortie d’un suivi et d’un contrôle dans le cadre d’une thérapie ambulatoire intensive, et que le risque qu’il commît des atteintes aux personnes s’en trouverait considérablement accru. Il doutait notamment de la possibilité réelle pour le requérant de bénéficier en cas de renvoi en Turquie du suivi et du contrôle dont il avait besoin dans le cadre d’une thérapie ambulatoire intensive. Il a donc conclu que la mesure d’expulsion était manifestement inappropriée. 55. En appel, en revanche, la cour d’appel a conclu que le requérant aurait accès au traitement médical dont il avait besoin s’il était renvoyé en Turquie. 56. Elle a noté d’emblée que d’après les informations issues de la base de données MedCOI et celles communiquées par le ministère des Affaires étrangères, le requérant pourrait poursuivre dans la région de Konya, en Turquie, le même traitement que celui qu’il suivait au Danemark, et qu’il pourrait bénéficier de soins psychiatriques dans des hôpitaux publics et dans des établissements de santé privés ayant conclu un accord avec le ministère turc de la Santé. Elle a considéré en outre, sur la base des renseignements qu’elle avait obtenus, que le requérant pourrait prétendre à une prise en charge partielle ou totale de son traitement en Turquie si ses revenus étaient faibles ou inexistants, voire, éventuellement, à une exonération du ticket modérateur correspondant à 20 % du coût des médicaments. Elle a également tenu compte du fait que du personnel kurdophone pourrait l’assister lors de ses passages à l’hôpital. Elle a donc acquis la conviction que le coût des médicaments et traitements en Turquie n’empêcherait pas le requérant de bénéficier effectivement du traitement dont il avait besoin. 57. Les juridictions internes sont parties du principe qu’une fois en Turquie le requérant s’installerait dans le village d’origine de sa mère, situé à 100 km de Konya dans une région kurdophone (paragraphe 27 ci ‑ dessus). Il apparaît donc que la cour d’appel a considéré qu’une telle distance entre le lieu de résidence du requérant et le lieu où il suivrait son traitement n’empêcherait pas en elle-même l’intéressé de bénéficier réellement du traitement dont il a besoin, ce qui est conforme à ce que la Cour a conclu précédemment, dans les arrêts Bensaid (précité , §§ 36 et 39) et Tatar c. Suisse (n o 65692/12, §§ 47-48, 14 avril 2015 ) notamment. 58. La Cour note qu’en l’espèce, la possibilité pour le requérant de bénéficier d’un suivi et d’un contrôle dans le cadre d’une thérapie ambulatoire intensive constituait aussi un élément important. La cour d’appel disposait, entre autres, de la déclaration du 5 avril 2013 dans laquelle K.A., psychiatre consultant, avait précisé que le médicament que le requérant prenait, à savoir le Leponex, devait être administré quotidiennement, ce qui exposait le requérant à un risque de rupture du traitement et donc d’aggravation de ses symptômes psychotiques et d’augmentation de son agressivité. Elle disposait également de la déclaration du 13 janvier 2014 dans laquelle P.L., psychiatre consultant, indiquait que le requérant avait de bonnes chances d’entrer en rémission si, à sa sortie, il pouvait être réinséré dans la société en bénéficiant d’un logement convenable et d’une thérapie ambulatoire intensive sur plusieurs années, et qu’au contraire ses chances de rémission seraient faibles en cas de sortie sans suivi ni contrôle. Le 7 octobre 2014, P.L. avait ajouté devant le tribunal de première instance que le traitement médical prescrit au requérant nécessitait une grande expertise et qu’il considérait en outre que, pour éviter une rechute, le requérant devait, en complément d’un traitement médicamenteux, être suivi régulièrement par un référent, bénéficier d’un plan de suivi destiné à contrôler qu’il se conformait au traitement médical qui lui était prescrit, et être accompagné par un assistant social chargé de l’aider à gérer ses problèmes, de dépendance notamment, ainsi que par une personne chargée de s’assurer qu’il évoluait dans un environnement favorable et qu’on lui proposait une occupation. Ces mesures faisaient partie du traitement du requérant au Danemark. Par ailleurs, P.L. avait précisé devant la cour d’appel le 6 janvier 2015 que le requérant devait régulièrement faire des examens sanguins pour vérifier qu’il ne développait pas une défaillance du système immunitaire, le Leponex pouvant provoquer un tel effet indésirable. 59. La cour d’appel n’a pas abordé ces points. Elle a dit plus généralement qu’étant donné que le requérant avait conscience de la pathologie dont il souffrait et, selon ses dires, qu’il savait à quel point le fait pour lui de suivre son traitement et de prendre ses médicaments était important, l’état de santé du requérant ne rendait pas son renvoi manifestement inapproprié. Elle a ajouté que le requérant pourrait poursuivre dans la région de Konya, en Turquie, le même traitement médical que celui dont il bénéficiait au Danemark, que des soins psychiatriques étaient disponibles en Turquie et que le requérant pourrait effectivement bénéficier dans ce pays du traitement qui lui avait été prescrit. La Cour observe toutefois que, selon P.L., le fait que le requérant fût conscient de sa maladie ne suffisait pas, compte tenu de la situation, à éviter une rechute, et que l’intéressé devait bénéficier d’un suivi régulier par un référent. 60. D’une part, la Cour rappelle que, lorsqu’il s’agit de vérifier si les soins généralement disponibles dans l’État de destination sont suffisants et adéquats en pratique pour traiter la pathologie dont souffre le requérant afin d’éviter qu’il soit exposé à un traitement contraire à l’article 3, le paramètre de référence n’est pas le niveau de soins existant dans l’État de renvoi. Il ne s’agit pas, en effet, de savoir si les soins dans l’État de destination seront équivalents ou inférieurs à ceux qu’offre le système de santé de l’État de renvoi (paragraphe 46 ci-dessus). Il s’agit plutôt de savoir si, dans l’hypothèse où il ne pourrait recevoir un traitement « approprié » en Turquie, le requérant serait exposé à un déclin grave, rapide et irréversible de son état de santé entraînant des souffrances intenses (paragraphe 45 ci ‑ dessus). 61. D’autre part, à la lumière des déclarations évoquées ci-dessus dans lesquelles les psychiatres consultants K.A. et P.L. ont insisté sur la nécessité d’un suivi et d’un contrôle dans le cadre de la thérapie ambulatoire intensive que devait suivre le requérant, la Cour estime qu’il est pertinent de relever que, contrairement au tribunal de première instance, la cour d’appel n’a pas développé cette question . 62. La Cour rappelle que l’existence d’un réseau social et familial fait également partie des éléments importants qu’il convient de prendre en compte afin de déterminer si une personne a la possibilité effective d’avoir accès à un traitement médical ( Paposhvili , précité, § 190). Dans le cas d’espèce, le requérant soutient qu’il n’a aucun réseau social ou familial en Turquie. Sur ce point, la présente affaire présente des similitudes avec l’affaire Aswat c. Royaume-Uni (n o 17299/12, § 57, 16 avril 2013 ), et elle diffère, par exemple, des affaires Bensaid (précitée, § 20) et Tatar (précitée, § 12). 63. La Cour admet qu’il ne ressort pas des informations d’ordre médical qui lui ont été communiquées dans la présente affaire que la présence d’un réseau familial revêt de l’importance dans le cadre du traitement du requérant. Elle ne peut cependant ignorer que le requérant souffre de schizophrénie paranoïde, une affection mentale de longue durée qui nécessite un traitement psychiatrique et médical permanent. Renvoyer le requérant en Turquie, où il n’a aucun réseau familial ou social, se traduira inévitablement par des difficultés supplémentaires, ce qui rendra d’autant plus nécessaire, de l’avis de la Cour, la mise en place dans le pays de destination des mesures de suivi et de contrôle dont l’intéressé a besoin dans le cadre de sa thérapie ambulatoire intensive. La Cour rappelle notamment à cet égard que, d’après les rapports psychiatriques (voir, en particulier, les paragraphes 19, 22 et 58 ci-dessus), le requérant suit un traitement complexe dont le plan doit être suivi à la lettre. Il doit en effet prendre des neuroleptiques tous les jours, et les médecins y voient un risque de rupture du traitement propre à provoquer une aggravation des symptômes psychotiques et un risque accru de comportement agressif. 64. Partant, un programme de suivi et de contrôle est indispensable dans le cadre du traitement psychologique ambulatoire du requérant et des mesures visant à prévenir une défaillance de son système immunitaire. Le requérant doit donc, à tout le moins, bénéficier d’un suivi régulier par un référent. La Cour considère donc que les autorités danoises auraient dû s’assurer qu’en cas de renvoi en Turquie les autorités de ce pays mettraient à la disposition du requérant un référent capable de répondre à ses besoins, avec lequel il serait en contact régulier. 65. En conséquence, bien que le seuil de gravité requis pour l’application de l’article 3 de la Convention soit élevé dans les cas d’éloignement d’étrangers gravement malades, la Cour partage les préoccupations du tribunal de première instance et considère, comme lui, qu’il est difficile de déterminer avec certitude si, en cas de renvoi en Turquie, le requérant aurait une possibilité réelle de recevoir le traitement psychiatrique dont il a besoin, y compris le suivi et le contrôle nécessaires à la réussite de sa thérapie ambulatoire intensive (paragraphe 27 ci-dessus). 66. La Cour estime que cette incertitude fait naître des doutes sérieux quant à l’impact d’un éloignement sur le requérant. Lorsque de tels doutes subsistent, il appartient à l’État de renvoi soit de les lever, soit d’obtenir de l’État de destination, comme condition préalable à l’éloignement, des assurances individuelles et suffisantes que des traitements adéquats seront disponibles et accessibles aux intéressés afin qu’ils ne se retrouvent pas dans une situation contraire à l’article 3 ( Paposhvili , précité, §§ 187 et 191). 67. Il s’ensuit que, si le requérant devait être renvoyé en Turquie sans que les autorités danoises n’aient au préalable obtenu des autorités turques une garantie individuelle suffisante, il y aurait violation de l’article 3 de la Convention. II. SUR LA VIOLATION ALLÉGUÉE DE L’ARTICLE 8 DE LA CONVENTION 68. Le requérant estime également que l’exécution de la décision d’expulsion emporterait violation de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69. La Cour rappelle qu’en vertu de l’article 35 de la Convention « elle ne peut être saisie qu’après l’épuisement des voies de recours internes, tel qu’il est entendu selon les principes de droit international généralement reconnus, et dans un délai de six mois à partir de la date de la décision interne définitive. » Elle note que la procédure pénale a pris fin le 10 août 2009, avec le prononcé de l’arrêt de la Cour suprême. Étant donné qu’il concerne la décision d’expulsion initiale prononcée dans les arrêts rendus dans le cadre de la procédure pénale, le grief tiré de l’article 8 a été introduit tardivement et doit donc être rejeté conformément à l’article 35 §§ 1 et 4 de la Convention (voir, par exemple, Hamsevic c. Danemark (déc.), n o 25748/15, § 28, 16 mai 2017). 70. Concernant le grief que le requérant tire de la procédure de révocation de la décision d’expulsion, la Cour constate qu’il n’est pas manifestement mal fondé au sens de l’article 35 § 3 a) de la Convention et qu’il n’est pas irrecevable pour d’autres motifs. Elle le déclare donc recevable . 71. Le requérant allègue qu’il est conscient de la gravité de l’infraction qu’il a commise il y a douze ans. Il rappelle toutefois qu’il était gravement malade au moment des faits. Il ajoute qu’il vit au Danemark depuis l’âge de six ans et qu’il ne s’est rendu que quelques fois en Turquie, et plus depuis 2001. Il dit qu’il souffre d’une grave pathologie mentale, qu’il n’a aucun lien social, culturel ou familial avec la Turquie et qu’il ne parle pas le turc. Il soutient qu’il n’a donc aucune chance de parvenir à gagner sa vie en Turquie et que le risque d’isolement et de détérioration de sa situation générale est élevé. 72. Le Gouvernement estime que l’ingérence dans l’exercice par le requérant de son droit au respect de sa vie privée et familiale garanti par l’article 8 est « prévue par la loi », qu’elle poursuit le but légitime qu’est la prévention des troubles et du crime, et qu’elle est « nécessaire » « dans une société démocratique ». 73. Il avance que dans la procédure pénale – au cours de laquelle la mesure d’expulsion a été ordonnée – comme dans la procédure de révocation, les autorités danoises ont procédé à un examen approfondi de la situation sous l’angle de l’article 8, en respectant pleinement les principes généraux énoncés, notamment, dans l’arrêt Maslov c. Autriche ([GC], n o 1638/03, §§ 72-73, CEDH 2008 ), et qu’elles ont pris soin de ménager un juste équilibre entre les intérêts en présence. Il estime donc que compte tenu des principes applicables concernant l’exercice de sa fonction de contrôle, la Cour devrait être peu encline à substituer son avis à celui des juridictions internes. 74. Eu égard aux conclusions auxquelles elle est parvenue sous l’angle de l’article 3 (paragraphe 67 ci-dessus), la Cour juge inutile d’examiner séparément le grief tiré de l’article 8 de la Convention. III. SUR L’APPLICATION DE L’ARTICLE 41 DE LA CONVENTION 75.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76. Le requérant demande la somme de 40 000 euros (EUR) en réparation du dommage moral qu’il estime avoir subi à raison de la violation alléguée des articles 3 et 8 de la Convention. 77. Le Gouvernement allègue que la demande est excessive et qu’un constat de violation constituerait une satisfaction équitable adéquate. 78. La Cour juge que sa conclusion dans le présent arrêt (paragraphe 67 ci-dessus) représente en elle-même une satisfaction équitable suffisante pour tout dommage moral pouvant avoir été subi par le requérant (voir, dans le même sens, Paposhvili , précité, § 231, J.K. et autres c. Suède [GC], n o 59166/12, § 127, 23 août 2016 , et les affaires qui y sont citées). B. Frais et dépens engagés dans la procédure interne 79. Le requérant demande le remboursement des frais et dépens qu’il a engagés ou qu’il pourrait avoir à engager dans le cadre de la procédure pénale et de la procédure de révocation, lesquels s’élèvent selon lui à 152 725 couronnes danoises (DKK) au minimum. 80. Le Gouvernement souligne que les juridictions internes ont décidé que le Trésor supporterait l’ensemble des frais et dépens à la charge du requérant, à l’exception de ceux liés à l’arrêt rendu par la cour d’appel le 17 octobre 2008 et à l’arrêt rendu par la Cour suprême le 10 août 2009, soit un total de 107 628 DKK. 81. La Cour rappelle qu’au titre de l’article 41 de la Convention elle rembourse uniquement les frais et dépens dont il est établi qu’ils ont été réellement et nécessairement exposés et qu’ils sont d’un montant raisonnable. Elle souligne également que l’allocation de frais et dépens suppose qu’ils aient été engagés par les requérants pour essayer de prévenir la violation relevée par la Cour ou pour y faire remédier (voir, entre autres, Lopata c. Russie , n o 72250/01, § 168, 13 juillet 2010 ). 82. La présente requête, qui a été introduite devant la Cour le 16 novembre 2015, portait sur la procédure de révocation qui a pris fin le 20 mai 2015 avec le rejet de la demande d’autorisation de se pourvoir devant la Cour suprême. Or, le requérant n’a pas encouru de frais et dépens dans cette procédure. Partant, bien que la Cour ait été appelée dans cette affaire à examiner la procédure pénale qui a pris fin le 10 août 2009, son constat de violation (paragraphe 67 ci-dessus) concerne la procédure de révocation. Elle n’octroie donc aucune somme au titre des frais et dépens engagés dans le cadre de la procédure pénale. C. Frais et dépens engagés dans le cadre de la procédure devant la Cour 83. Le requérant réclame au titre des frais et dépens engagés dans le cadre de la procédure devant la Cour la somme de 103 560 DKK, correspondant à 86 heures de travail effectuées par ses représentants et assistants juridiques. 84. Le Gouvernement trouve cette somme excessive. Il indique que le requérant a déposé une demande d’aide judiciaire en vertu de la loi danoise sur l’aide judiciaire (Lov 1999-12-20 nr. 940 om retshjælp til indgivelse og førelse af klagesager for internationale klageorganer i henhold til menneskerettighedskonventioner ) et que, le 17 août 2018, la direction des affaires civiles a informé le requérant qu’une aide judiciaire d’un montant pouvant aller jusqu’à 40 000 DKK lui était accordée à titre provisoire. Le Gouvernement estime que cette somme suffit à couvrir les frais et dépens engagés dans le cadre de la procédure devant la Cour. 85. En l’espèce, le requérant s’est vu accorder à titre provisoire la somme de 40 000 DKK au titre de la loi danoise sur l’aide judiciaire. La Cour ne peut cependant pas savoir si le ministère de la Justice lui accordera une aide judiciaire supplémentaire ni comment un litige entre les parties concernant l’aide judiciaire serait tranché. Elle juge donc nécessaire d’examiner la demande du requérant relative aux frais et dépens et de statuer. 86. Selon la jurisprudence de la Cour, un requérant ne peut obtenir le remboursement de ses frais et dépens que dans la mesure où se trouvent établis leur réalité, leur nécessité et le caractère raisonnable de leur taux. En l’espèce, compte tenu des pièces versées, des critères énoncés ci ‑ dessus, des sommes accordées dans des affaires danoises comparables (voir, par exemple, l’affaire Osman c. Danemark , n o 38058/09, § 88, 14 juin 2011 ) et du fait que le requérant s’est déjà vu accorder 40 000 DKK en vertu de la loi danoise sur l’aide judiciaire, la Cour juge raisonnable de lui allouer 2 000 EUR au titre des frais et dépens engagés dans le cadre de la procédure devant la Cour. D. Intérêts moratoires 87.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