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5691/03 vom 29. Juni 2006</w:t>
      </w:r>
    </w:p>
    <w:p>
      <w:r>
        <w:t>Ecthr Chamber, 2006-06-29, FR</w:t>
      </w:r>
    </w:p>
    <w:p>
      <w:r>
        <w:rPr>
          <w:b/>
        </w:rPr>
        <w:t xml:space="preserve">Quelle: </w:t>
      </w:r>
      <w:r>
        <w:t>https://mcp.opencaselaw.ch/entscheid/ecthr_chamber_5691_03</w:t>
      </w:r>
    </w:p>
    <w:p>
      <w:r>
        <w:t>FR: ECTHR_CHAMBER 5691/03 du 29 juin 2006</w:t>
      </w:r>
    </w:p>
    <w:p>
      <w:r>
        <w:t>IT: ECTHR_CHAMBER 5691/03 del 29 giugno 2006</w:t>
      </w:r>
    </w:p>
    <w:p>
      <w:pPr>
        <w:pStyle w:val="Heading2"/>
      </w:pPr>
      <w:r>
        <w:t>Regeste</w:t>
      </w:r>
    </w:p>
    <w:p>
      <w:r>
        <w:t>Violation de P1-1;Dommage matériel - restitution de l'appartement ou réparation pécuniaire;Préjudice moral - réparation pécuniaire</w:t>
      </w:r>
    </w:p>
    <w:p>
      <w:pPr>
        <w:pStyle w:val="Heading2"/>
      </w:pPr>
      <w:r>
        <w:t>Erwägungen</w:t>
      </w:r>
    </w:p>
    <w:p>
      <w:r>
        <w:rPr>
          <w:b/>
        </w:rPr>
        <w:t>E. 1</w:t>
      </w:r>
    </w:p>
    <w:p>
      <w:r>
        <w:t>26. De surcroît, dans l’affaire Păduraru précitée (§ 112) la Cour a constaté que l’Etat avait manqué à son obligation positive de réagir en temps utile et avec cohérence face à la question d’intérêt général que constitue la restitution ou la vente des immeubles entrés en sa possession en vertu des décrets de nationalisation. Elle a également considéré que l’incertitude générale ainsi créée s’était répercutée sur le requérant, qui s’était vu dans l’impossibilité de recouvrer l’ensemble de son bien alors qu’il disposait d’un arrêt définitif condamnant l’Etat à le lui restituer. 27. En l’espèce, la Cour n’aperçoit pas de motif pour s’écarter de la jurisprudence précitée, la situation de fait étant sensiblement la même. A l’instar de l’affaire Brumărescu précitée, dans la présente affaire, des tiers sont devenus propriétaires avant que le droit de propriété des requérants sur ce bien fasse l’objet d’une confirmation définitive. Et comme dans l’affaire Străin précitée, les requérants en l’espèce ont été reconnus propriétaires légitimes, les tribunaux ayant jugé incontestable leur titre de propriété, eu égard au caractère abusif de la nationalisation. 28. La Cour observe que la vente du bien des requérants, en vertu de la loi n o 112/1995, les empêche de jouir de leur droit de propriété et qu’aucun dédommagement ne leur a été octroyé pour cette privation. En effet, bien qu’ils aient déposé une demande d’indemnisation en vertu de la loi n o 10/2001 pour la partie vendue à des tiers, les requérants n’ont reçu à ce jour aucune réponse. 29. La Cour note que, le 22 juillet 2005, la loi n o 247/2005 a été adoptée modifiant la loi n o 10/2001. Cette nouvelle loi accorde un droit à indemnisation, à hauteur de la valeur marchande du bien qui ne peut être restitué, aux personnes se trouvant dans la même situation que les requérants. La Cour observe que la loi précitée propose, pour les personnes n’ayant pas la possibilité d’obtenir la restitution de leur bien en nature, de leur octroyer une indemnisation sous la forme d’une participation, en tant qu’actionnaires à un organisme de placement de valeurs mobilières (OPCVM). En principe, les personnes ayant vocation à recevoir une indemnisation par cette voie recevront des titres de valeur qui seront transformés en actions, une fois la société cotée en bourse. 30. Le Cour note que, le 29 décembre 2005, la société anonyme « Proprietatea » a été inscrite au Registre du Commerce de Bucarest. Afin que les actions émises par cette société anonyme puissent faire l’objet d’une transaction sur le marché financier, il faut suivre la procédure d’agrément par le Conseil national des valeurs mobilières (« CNVM »). Selon le calendrier prévisionnel de « Proprietatea », l’opération de conversion des titres en actions devait intervenir en mars 2006 et l’entrée effective en bourse en décembre 2006. 31. En l’espèce, à supposer que la demande de restitution formée par les requérants en vertu de la loi n o 10/2001 soit recevable et puisse faire l’objet d’une indemnisation, la Cour observe que « Proprietatea » ne fonctionne actuellement pas d’une manière susceptible d’aboutir à l’octroi effectif d’une indemnité. Dès lors, la Cour considère que la mise en échec du droit de propriété des requérants sur l’appartement composé de deux pièces (47,37 m²), sis au n o</w:t>
      </w:r>
    </w:p>
    <w:p>
      <w:r>
        <w:rPr>
          <w:b/>
        </w:rPr>
        <w:t>E. 3</w:t>
      </w:r>
    </w:p>
    <w:p>
      <w:r>
        <w:t>de la rue Mircea cel Batran à Eforie Sud, vendu à D.G. et D.M., telle qu’ordonnée par le jugement définitif rendu le 5 mars 1998 par le tribunal de première instance de Constanta, placerait les requérants autant que possible dans une situation équivalant à celle où ils se trouveraient si les exigences de l’article 1 du Protocole n o 1 n’avaient pas été méconnues. A défaut pour l’Etat défendeur de procéder à pareille restitution dans un délai de trois mois à compter du jour où le présent arrêt sera devenu définitif, la Cour décide qu’il devra verser aux intéressés, pour dommage matériel, une somme correspondant à la valeur actuelle de l’appartement. 39. A ce sujet, la Cour note avec intérêt que la loi n o 247/2005 portant modification de la loi n o 10/2001 sur la restitution des biens nationalisés tant légalement qu’illégalement, entrée en vigueur le 19 juillet 2005, applique les principes exprimés dans la jurisprudence internationale, judiciaire ou arbitrale au sujet des réparations dues en cas d’actes illicites et confirmés d’une manière constante par elle-même dans sa jurisprudence relative aux privations illégales ou de facto ( Papamichalopoulos c. Grèce (satisfaction équitable), arrêt du 31 octobre 1995, série A n o 330-B, p. 59-61, §§ 36-39, Zubani c. Italie , arrêt du 7 août 1996, Recueil des arrêts et décisions 1996 ‑ IV, p. 1078, § 49, et Brumărescu c. Roumanie (satisfaction équitable) précité, §§ 22 et 23). 40. En effet, la nouvelle loi qualifie d’abusives les nationalisations opérées par le régime communiste et prévoit l’obligation de restitution en nature d’un bien sorti du patrimoine d’une personne par suite d’une telle privation. En cas d’impossibilité de restitution pour cause, par exemple, de vente du bien à un tiers de bonne foi, la loi accorde une indemnité à hauteur de la valeur marchande du bien au moment de l’octroi (titre I, section I, articles 1, 16, et 43 de la loi). 41. En l’espèce, s’agissant de déterminer le montant de l’indemnité pouvant être versée aux requérants, la Cour note que le seul document attestant de la valeur marchande du bien est l’avis de l’expert immobilier engagé par le Gouvernement portant sur l’immeuble dans sa totalité. 42. Compte tenu des informations dont elle dispose sur les prix du marché immobilier local, la Cour estime la valeur marchande actuelle du bien à 14 000 EUR. 43. De surcroît, la Cour considère que les événements en cause ont entraîné des atteintes graves au droit des requérants au respect de leur bien, pour lequel la somme de 1 400 EUR représente une réparation équitable du préjudice moral subi. B. Intérêts moratoires 44.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