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ECTHR_CHAMBER 51391/19 vom 11. Januar 2024</w:t>
      </w:r>
    </w:p>
    <w:p>
      <w:r>
        <w:t>Ecthr Chamber, 2024-01-11, FR</w:t>
      </w:r>
    </w:p>
    <w:p>
      <w:r>
        <w:rPr>
          <w:b/>
        </w:rPr>
        <w:t xml:space="preserve">Quelle: </w:t>
      </w:r>
      <w:r>
        <w:t>https://mcp.opencaselaw.ch/entscheid/ecthr_chamber_51391_19</w:t>
      </w:r>
    </w:p>
    <w:p>
      <w:r>
        <w:t>FR: ECTHR_CHAMBER 51391/19 du 11 janvier 2024</w:t>
      </w:r>
    </w:p>
    <w:p>
      <w:r>
        <w:t>IT: ECTHR_CHAMBER 51391/19 del 11 gennaio 2024</w:t>
      </w:r>
    </w:p>
    <w:p>
      <w:pPr>
        <w:pStyle w:val="Heading2"/>
      </w:pPr>
      <w:r>
        <w:t>Regeste</w:t>
      </w:r>
    </w:p>
    <w:p>
      <w:r>
        <w:t>Non-violation de l'article 1 du Protocole n° 1 - Protection de la propriété (Article 1 al. 2 du Protocole n° 1 - Réglementer l'usage des biens); No violation: P1-1;P1-1-2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à la Convention.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