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ECTHR_CHAMBER 51354/99 vom 8. Juli 2004</w:t>
      </w:r>
    </w:p>
    <w:p>
      <w:r>
        <w:t>Ecthr Chamber, 2004-07-08, FR</w:t>
      </w:r>
    </w:p>
    <w:p>
      <w:r>
        <w:rPr>
          <w:b/>
        </w:rPr>
        <w:t xml:space="preserve">Quelle: </w:t>
      </w:r>
      <w:r>
        <w:t>https://mcp.opencaselaw.ch/entscheid/ecthr_chamber_51354_99</w:t>
      </w:r>
    </w:p>
    <w:p>
      <w:r>
        <w:t>FR: ECTHR_CHAMBER 51354/99 du 8 juillet 2004</w:t>
      </w:r>
    </w:p>
    <w:p>
      <w:r>
        <w:t>IT: ECTHR_CHAMBER 51354/99 del 8 luglio 2004</w:t>
      </w:r>
    </w:p>
    <w:p>
      <w:pPr>
        <w:pStyle w:val="Heading2"/>
      </w:pPr>
      <w:r>
        <w:t>Regeste</w:t>
      </w:r>
    </w:p>
    <w:p>
      <w:r>
        <w:t>Exclusion de trois requérants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La Cour rappelle qu’aux termes de l’article 80 § 1 (demande en révision d’un arrêt) de son règlement : « En cas de découverte d’un fait qui, par sa nature, aurait pu exercer une influence décisive sur l’issue d’une affaire déjà tranchée et qui, à l’époque de l’arrêt, était inconnu de la Cour et ne pouvait raisonnablement être connu d’une partie, cette dernière peut, dans le délai de six mois à partir du moment où elle a eu connaissance du fait découvert, saisir la Cour d’une demande en révision de l’arrêt dont il s’agit. »</w:t>
      </w:r>
    </w:p>
    <w:p>
      <w:r>
        <w:rPr>
          <w:b/>
        </w:rPr>
        <w:t>E. 8</w:t>
      </w:r>
    </w:p>
    <w:p>
      <w:r>
        <w:t>La Cour se doit donc d’examiner si les conditions d’applicabilité de cet article sont réunies en l’espèce.</w:t>
      </w:r>
    </w:p>
    <w:p>
      <w:r>
        <w:rPr>
          <w:b/>
        </w:rPr>
        <w:t>E. 9</w:t>
      </w:r>
    </w:p>
    <w:p>
      <w:r>
        <w:t>La Cour relève que le décès des requérants n os 4, 17 et 35 avant même la date qui figure sur leurs pourvois constitue un fait nouveau incontesté dont elle n’avait pas connaissance à l’époque de l’arrêt et qui aurait pu exercer une influence décisive sur l’issue de l’affaire. La Cour estime en outre que cette information « ne pouvait raisonnablement être connue » du Gouvernement avant le prononcé de l’arrêt initial. Elle déplore cet incident et regrette qu’aucune explication plausible n’ait été fournie par le conseil des requérants à cet égard.</w:t>
      </w:r>
    </w:p>
    <w:p>
      <w:r>
        <w:rPr>
          <w:b/>
        </w:rPr>
        <w:t>E. 10</w:t>
      </w:r>
    </w:p>
    <w:p>
      <w:r>
        <w:t>La Cour estime donc que l’article 80 du règlement est applicable en l’espèce et qu’il y a lieu de réviser l’arrêt du 16 janvier 2003 et d’exclure les requérants n os 4, 17 et 35 de la requête. Leurs héritiers ne peuvent donc prétendre poursuivre la procédure à leur place, cette exclusion signifiant que les requérants décédés n’ont jamais pris part à la requête.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