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50691/99 vom 16. Juni 2005</w:t>
      </w:r>
    </w:p>
    <w:p>
      <w:r>
        <w:t>Ecthr Chamber, 2005-06-16, FR</w:t>
      </w:r>
    </w:p>
    <w:p>
      <w:r>
        <w:rPr>
          <w:b/>
        </w:rPr>
        <w:t xml:space="preserve">Quelle: </w:t>
      </w:r>
      <w:r>
        <w:t>https://mcp.opencaselaw.ch/entscheid/ecthr_chamber_50691_99</w:t>
      </w:r>
    </w:p>
    <w:p>
      <w:r>
        <w:t>FR: ECTHR_CHAMBER 50691/99 du 16 juin 2005</w:t>
      </w:r>
    </w:p>
    <w:p>
      <w:r>
        <w:t>IT: ECTHR_CHAMBER 50691/99 del 16 giugno 2005</w:t>
      </w:r>
    </w:p>
    <w:p>
      <w:pPr>
        <w:pStyle w:val="Heading2"/>
      </w:pPr>
      <w:r>
        <w:t>Regeste</w:t>
      </w:r>
    </w:p>
    <w:p>
      <w:r>
        <w:t>Violation de l'art. 10;Violation de l'art. 6-1;Non-lieu à examiner l'art. 6-3-b;Dommage matériel - réparation pécuniaire;Préjudice moral - réparation pécuniaire;Remboursement partiel frais et dépens - procédure nationale;Remboursement partiel frais et dépens - procédure de la Convention; Violation: 10;6;6-1</w:t>
      </w:r>
    </w:p>
    <w:p>
      <w:pPr>
        <w:pStyle w:val="Heading2"/>
      </w:pPr>
      <w:r>
        <w:t>Erwägungen</w:t>
      </w:r>
    </w:p>
    <w:p>
      <w:r>
        <w:rPr>
          <w:b/>
        </w:rPr>
        <w:t>E. 16</w:t>
      </w:r>
    </w:p>
    <w:p>
      <w:r>
        <w:t>Le requérant se plaint que sa condamnation au pénal a enfreint son droit à la liberté d'expression et invoque l'article 10 de la Convention, ainsi libellé dans ses parties pertinentes: « 1. Toute personne a droit à la liberté d'expression. Ce droit comprend la liberté d'opinion et la liberté de recevoir ou de communiquer des informations ou des idées sans qu'il puisse y avoir ingérence d'autorités publiques et sans considération de frontière. (...)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 » A. Sur la recevabilité</w:t>
      </w:r>
    </w:p>
    <w:p>
      <w:r>
        <w:rPr>
          <w:b/>
        </w:rPr>
        <w:t>E. 17</w:t>
      </w:r>
    </w:p>
    <w:p>
      <w:r>
        <w:t>Le Gouvernement ne soulève aucune exception. La Cour estime, à la lumière de l'ensemble des arguments des parties, que le grief tiré de l'article 10 pose de sérieuses questions de fait et de droit qui ne peuvent être résolues à ce stade de l'examen de la requête, mais nécessitent un examen au fond. Il s'ensuit que cette partie de la requête ne saurait être manifestement mal fondée, au sens de l'article 35 § 3 de la Convention. La Cour constate en outre qu'il ne se heurte à aucun autre motif d'irrecevabilité. B. Sur le fond</w:t>
      </w:r>
    </w:p>
    <w:p>
      <w:r>
        <w:rPr>
          <w:b/>
        </w:rPr>
        <w:t>E. 18</w:t>
      </w:r>
    </w:p>
    <w:p>
      <w:r>
        <w:t>La Cour note qu'il ne prête pas à controverse entre les parties que la condamnation litigieuse constituait une ingérence dans le droit du requérant à la liberté d'expression, protégé par l'article 10 § 1. Il n'est pas davantage contesté que l'ingérence était prévue par la loi et poursuivait un but légitime, à savoir la protection de l'intégrité territoriale au sens de l'article 10 § 2 (voir Yağmurdereli c. Turquie , n o 29590/96, § 40, 4 juin 2002). La Cour souscrit à cette appréciation. En l'occurrence, le différend porte sur la question de savoir si l'ingérence était « nécessaire dans une société démocratique ».</w:t>
      </w:r>
    </w:p>
    <w:p>
      <w:r>
        <w:rPr>
          <w:b/>
        </w:rPr>
        <w:t>E. 19</w:t>
      </w:r>
    </w:p>
    <w:p>
      <w:r>
        <w:t>Le Gouvernement maintient que la condamnation du requérant était nécessaire dans une société démocratique, dans la mesure où la situation de la sécurité dans le sud-est du pays était particulièrement sensible à l'époque des faits, et que les termes « travailleurs » et « mouvement kurde » employés dans les textes litigieux désignaient des groupes illégaux appelant à la violence. Les articles en question seraient non pas des travaux journalistiques, mais de la propagande contre l'autorité de l'Etat.</w:t>
      </w:r>
    </w:p>
    <w:p>
      <w:r>
        <w:rPr>
          <w:b/>
        </w:rPr>
        <w:t>E. 20</w:t>
      </w:r>
    </w:p>
    <w:p>
      <w:r>
        <w:t>La Cour a déjà traité d'affaires soulevant des questions semblables à celles du cas d'espèce et a constaté la violation de l'article 10 de la Convention (voir notamment Ceylan c. Turquie [GC], n o 23556/94, § 38, CEDH 1999 ‑ IV, Öztürk c. Turquie [GC], n o 22479/93, § 74, CEDH 1999 ‑ VI, İbrahim Aksoy c. Turquie , n os 28635/95, 30171/96 et 34535/97, § 80, 10 octobre 2000, Karkın c. Turquie , n o 43928/98, § 39, 23 septembre 2003, et Kızılyaprak c. Turquie , n o 27528/95, § 43, 2 octobre 2003).</w:t>
      </w:r>
    </w:p>
    <w:p>
      <w:r>
        <w:rPr>
          <w:b/>
        </w:rPr>
        <w:t>E. 21</w:t>
      </w:r>
    </w:p>
    <w:p>
      <w:r>
        <w:t>Elle a examiné la présente affaire à la lumière de sa jurisprudence et considère que le Gouvernement n'a fourni aucun fait ni argument pouvant mener à une conclusion différente dans le cas présent. Elle a porté une attention particulière aux termes employés dans les articles et au contexte dans lequel ils ont été publiés. A cet égard, elle a tenu compte des circonstances entourant le cas soumis à son examen, en particulier des difficultés liées à la lutte contre le terrorisme (voir İbrahim Aksoy , précité, § 60, et Incal c. Turquie , arrêt du 9 juin 1998, Recueil des arrêts et décisions 1998 ‑ IV, p. 1568, § 58).</w:t>
      </w:r>
    </w:p>
    <w:p>
      <w:r>
        <w:rPr>
          <w:b/>
        </w:rPr>
        <w:t>E. 22</w:t>
      </w:r>
    </w:p>
    <w:p>
      <w:r>
        <w:t>Les articles litigieux consistaient en une critique virulente d'une campagne nationale lancée par un quotidien afin d'inviter la population et les entreprises à investir dans le sud-est du pays, ainsi que de la politique menée par le gouvernement afin de procéder à « l'assimilation du peuple kurde par le biais de l'éducation de jeunes dans des pensionnats ».</w:t>
      </w:r>
    </w:p>
    <w:p>
      <w:r>
        <w:rPr>
          <w:b/>
        </w:rPr>
        <w:t>E. 23</w:t>
      </w:r>
    </w:p>
    <w:p>
      <w:r>
        <w:t>La Cour relève que la cour de sûreté de l'Etat a estimé que les articles litigieux contenaient des termes incitant le peuple à la haine et à l'hostilité.</w:t>
      </w:r>
    </w:p>
    <w:p>
      <w:r>
        <w:rPr>
          <w:b/>
        </w:rPr>
        <w:t>E. 24</w:t>
      </w:r>
    </w:p>
    <w:p>
      <w:r>
        <w:t>La Cour a examiné les motifs figurant dans les décisions des juridictions internes qui ne sauraient être considérés, en tant que tels, comme suffisants pour justifier l'ingérence dans le droit du requérant à la liberté d'expression (voir, mutatis mutandis , Sürek c. Turquie (n o 4) [GC], n o 24762/94, § 58, 8 juillet 1999). Elle observe notamment que si certains passages des articles litigieux dressent un tableau des plus négatifs de l'Etat turc, et donnent ainsi au récit une connotation hostile, ils n'exhortent pas pour autant à l'usage de la violence, ni à la résistance armée, ni au soulèvement, et qu'il ne s'agit pas d'un discours de haine, ce qui est, aux yeux de la Cour, l'élément essentiel à prendre en considération (voir, a contrario, Sürek c. Turquie (n o 1) [GC], n o 26682/95, § 62, CEDH 1999 ‑ IV, et Gerger c. Turquie [GC], n o 24919/94, § 50, 8 juillet 1999).</w:t>
      </w:r>
    </w:p>
    <w:p>
      <w:r>
        <w:rPr>
          <w:b/>
        </w:rPr>
        <w:t>E. 25</w:t>
      </w:r>
    </w:p>
    <w:p>
      <w:r>
        <w:t>La Cour relève que la nature et la lourdeur des peines infligées sont aussi des éléments à prendre en considération lorsqu'il s'agit de mesurer la proportionnalité de l'ingérence. Elle note à cet égard que le requérant a été condamné à une peine d'emprisonnement de deux ans ainsi qu'à une peine d'amende de 3 040 000 TRL. De plus, la publication du quotidien Günlük Emek a été suspendue pendant sept jours. La condamnation du requérant au pénal, de surcroît à une peine privative de liberté, s'avère disproportionnée aux buts visés et, dès lors, non « nécessaire dans une société démocratique ». Il y a donc eu violation de l'article 10 de la Convention. II. SUR LA VIOLATION ALLÉGUÉE DE L'ARTICLE 6 § 1 DE LA CONVENTION</w:t>
      </w:r>
    </w:p>
    <w:p>
      <w:r>
        <w:rPr>
          <w:b/>
        </w:rPr>
        <w:t>E. 26</w:t>
      </w:r>
    </w:p>
    <w:p>
      <w:r>
        <w:t>Le requérant allègue que la cour de sûreté de l'Etat qui l'a jugé et condamné ne constituait pas un « tribunal indépendant et impartial » qui eût pu lui garantir un procès équitable en raison de la présence d'un juge militaire en son sein. Il se plaint en outre de la non-communication de l'avis du procureur général près la Cour de cassation. Il y voit une violation de l'article 6 §§ 1 et 3 b) de la Convention qui, en ses parties pertinentes, se lit ainsi : « 1. Toute personne a droit à ce que sa cause soit entendue équitablement, publiquement (...) par un tribunal indépendant et impartial (...) qui décidera (...) du bien-fondé de toute accusation en matière pénale dirigée contre elle (...) 3. Tout accusé a droit notamment à : (...) b) disposer du temps et des facilités nécessaires à la préparation de sa défense ; (...) » A. Sur la recevabilité</w:t>
      </w:r>
    </w:p>
    <w:p>
      <w:r>
        <w:rPr>
          <w:b/>
        </w:rPr>
        <w:t>E. 27</w:t>
      </w:r>
    </w:p>
    <w:p>
      <w:r>
        <w:t>La Cour constate que les griefs ne sont pas manifestement mal fondés au sens de l'article 35 § 3 de la Convention. La Cour relève par ailleurs que ceux-ci ne se heurtent à aucun autre motif d'irrecevabilité. Il convient donc de les déclarer recevables. B. Sur le fond 1. Sur l'indépendance et l'impartialité de la cour de sûreté de l'Etat</w:t>
      </w:r>
    </w:p>
    <w:p>
      <w:r>
        <w:rPr>
          <w:b/>
        </w:rPr>
        <w:t>E. 28</w:t>
      </w:r>
    </w:p>
    <w:p>
      <w:r>
        <w:t>La Cour a traité à maintes reprises d'affaires soulevant des questions semblables à celles du cas d'espèce et a constaté la violation de l'article 6 § 1 (voir Özel c. Turquie , no 42739/98, §§ 33-34, 7 novembre 2002, et Özdemir c. Turquie , no 59659/00 §§ 35-36, 10 juillet 2001).</w:t>
      </w:r>
    </w:p>
    <w:p>
      <w:r>
        <w:rPr>
          <w:b/>
        </w:rPr>
        <w:t>E. 29</w:t>
      </w:r>
    </w:p>
    <w:p>
      <w:r>
        <w:t>La Cour a examiné la présente affaire et considère que le Gouvernement n'a fourni aucun fait ni argument pouvant mener à une conclusion différente dans le cas présent. Elle constate qu'il est compréhensible que le requérant, qui répondait devant une cour de sûreté de l'Etat d'infractions prévues et réprimées par le code pénal, ait redouté de comparaître devant des juges parmi lesquels figurait un officier de carrière appartenant à la magistrature militaire. De ce fait, il pouvait légitimement craindre que la cour de sûreté de l'Etat se laissât indûment guider par des considérations étrangères à la nature de sa cause. Partant, on peut considérer qu'étaient objectivement justifiés les doutes nourris par le requérant quant à l'indépendance et à l'impartialité de cette juridiction ( Incal c. Turquie , précité, p. 1573, § 72 in fine ).</w:t>
      </w:r>
    </w:p>
    <w:p>
      <w:r>
        <w:rPr>
          <w:b/>
        </w:rPr>
        <w:t>E. 30</w:t>
      </w:r>
    </w:p>
    <w:p>
      <w:r>
        <w:t>La Cour conclut que, lorsqu'elle a jugé et condamné le requérant, la cour de sûreté de l'Etat n'était pas un tribunal indépendant et impartial au sens de l'article 6 § 1. 2. Sur la non-communication de l'avis du procureur général</w:t>
      </w:r>
    </w:p>
    <w:p>
      <w:r>
        <w:rPr>
          <w:b/>
        </w:rPr>
        <w:t>E. 31</w:t>
      </w:r>
    </w:p>
    <w:p>
      <w:r>
        <w:t>La Cour rappelle avoir déjà jugé dans des affaires similaires qu'un tribunal dont le manque d'indépendance et d'impartialité a été établi ne peut, en toute hypothèse, garantir un procès équitable aux personnes soumises à sa juridiction.</w:t>
      </w:r>
    </w:p>
    <w:p>
      <w:r>
        <w:rPr>
          <w:b/>
        </w:rPr>
        <w:t>E. 32</w:t>
      </w:r>
    </w:p>
    <w:p>
      <w:r>
        <w:t>Eu égard au constat de violation du droit du requérant à voir sa cause entendue par un tribunal indépendant et impartial auquel elle parvient, la Cour estime qu'il n'y a pas lieu d'examiner l'autre grief tiré de l'article 6 de la Convention (voir, entre autres, Çiraklar c. Turquie , arrêt du 28 octobre 1998, Recueil 1998 ‑ VII, §§ 44-45). III. SUR L'APPLICATION DE L'ARTICLE 41 DE LA CONVENTION</w:t>
      </w:r>
    </w:p>
    <w:p>
      <w:r>
        <w:rPr>
          <w:b/>
        </w:rPr>
        <w:t>E. 33</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34</w:t>
      </w:r>
    </w:p>
    <w:p>
      <w:r>
        <w:t>Le requérant allègue avoir subi un préjudice matériel qu'il évalue à 7 000 euros (EUR) du fait de la suspension de la publication du journal pendant sept jours. Il réclame en outre la réparation d'un dommage moral qu'il évalue à 5 000 EUR.</w:t>
      </w:r>
    </w:p>
    <w:p>
      <w:r>
        <w:rPr>
          <w:b/>
        </w:rPr>
        <w:t>E. 35</w:t>
      </w:r>
    </w:p>
    <w:p>
      <w:r>
        <w:t>Le Gouvernement ne se prononce pas sur ces prétentions.</w:t>
      </w:r>
    </w:p>
    <w:p>
      <w:r>
        <w:rPr>
          <w:b/>
        </w:rPr>
        <w:t>E. 36</w:t>
      </w:r>
    </w:p>
    <w:p>
      <w:r>
        <w:t>S'agissant de la perte pécuniaire alléguée, dans la mesure où le requérant n'a produit aucun élément de preuve permettant de parvenir à une quantification du manque à gagner résultant de la violation de l'article 10 de la Convention, la Cour rejette cette demande.</w:t>
      </w:r>
    </w:p>
    <w:p>
      <w:r>
        <w:rPr>
          <w:b/>
        </w:rPr>
        <w:t>E. 37</w:t>
      </w:r>
    </w:p>
    <w:p>
      <w:r>
        <w:t>En ce qui concerne le dommage moral, la Cour estime que l'intéressé peut passer pour avoir éprouvé un certain désarroi de par les circonstances de l'espèce. A cet égard, elle relève notamment les restrictions sur le droit à l'association que la condamnation du requérant en vertu de l'article 312 du code pénal a entraînées. Statuant en équité comme le veut l'article 41 de la Convention, la Cour lui alloue la somme de 2 000 EUR au titre de dommage moral.</w:t>
      </w:r>
    </w:p>
    <w:p>
      <w:r>
        <w:rPr>
          <w:b/>
        </w:rPr>
        <w:t>E. 38</w:t>
      </w:r>
    </w:p>
    <w:p>
      <w:r>
        <w:t>Lorsque la Cour conclut que la condamnation d'un requérant a été prononcée par un tribunal qui n'était pas indépendant et impartial au sens de l'article 6 § 1, elle estime qu'en principe le redressement le plus approprié serait de faire rejuger le requérant en temps utile par un tribunal indépendant et impartial (voir l'arrêt Gençel susmentionné, § 27). B. Frais et dépens</w:t>
      </w:r>
    </w:p>
    <w:p>
      <w:r>
        <w:rPr>
          <w:b/>
        </w:rPr>
        <w:t>E. 39</w:t>
      </w:r>
    </w:p>
    <w:p>
      <w:r>
        <w:t>Le requérant demande également 3 000 EUR pour les frais et dépens encourus devant les juridictions internes et la Cour. Il ne fournit aucun document à titre de justificatifs.</w:t>
      </w:r>
    </w:p>
    <w:p>
      <w:r>
        <w:rPr>
          <w:b/>
        </w:rPr>
        <w:t>E. 40</w:t>
      </w:r>
    </w:p>
    <w:p>
      <w:r>
        <w:t>Le Gouvernement ne se prononce pas sur ces prétentions.</w:t>
      </w:r>
    </w:p>
    <w:p>
      <w:r>
        <w:rPr>
          <w:b/>
        </w:rPr>
        <w:t>E. 41</w:t>
      </w:r>
    </w:p>
    <w:p>
      <w:r>
        <w:t>Compte tenu de sa jurisprudence en la matière, la Cour estime raisonnable la somme de 1 500 EUR, tous frais confondus, et l'accorde au requérant. C. Intérêts moratoires</w:t>
      </w:r>
    </w:p>
    <w:p>
      <w:r>
        <w:rPr>
          <w:b/>
        </w:rPr>
        <w:t>E. 42</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