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49904/21 vom 4. Juli 2024</w:t>
      </w:r>
    </w:p>
    <w:p>
      <w:r>
        <w:t>Ecthr Chamber, 2024-07-04, FR</w:t>
      </w:r>
    </w:p>
    <w:p>
      <w:r>
        <w:rPr>
          <w:b/>
        </w:rPr>
        <w:t xml:space="preserve">Quelle: </w:t>
      </w:r>
      <w:r>
        <w:t>https://mcp.opencaselaw.ch/entscheid/ecthr_chamber_49904_21</w:t>
      </w:r>
    </w:p>
    <w:p>
      <w:r>
        <w:t>FR: ECTHR_CHAMBER 49904/21 du 4 juillet 2024</w:t>
      </w:r>
    </w:p>
    <w:p>
      <w:r>
        <w:t>IT: ECTHR_CHAMBER 49904/21 del 4 luglio 2024</w:t>
      </w:r>
    </w:p>
    <w:p>
      <w:pPr>
        <w:pStyle w:val="Heading2"/>
      </w:pPr>
      <w:r>
        <w:t>Regeste</w:t>
      </w:r>
    </w:p>
    <w:p>
      <w:r>
        <w:t>Violation de l'article 6 - Droit à un procès équitable (Article 6-2 - Présomption d'innocence); Violation: 6;6-2</w:t>
      </w:r>
    </w:p>
    <w:p>
      <w:pPr>
        <w:pStyle w:val="Heading2"/>
      </w:pPr>
      <w:r>
        <w:t>Erwägungen</w:t>
      </w:r>
    </w:p>
    <w:p>
      <w:r>
        <w:rPr>
          <w:b/>
        </w:rPr>
        <w:t>E. 20</w:t>
      </w:r>
    </w:p>
    <w:p>
      <w:r>
        <w:t>Le requérant se plaint de ce que le raisonnement et les termes des arrêts de la cour d’appel et la Cour de cassation ont méconnu son droit à la présomption d’innocence. Il invoque l’article 6 § 2 de la Convention, qui est ainsi libellé : « 2. Toute personne accusée d’une infraction est présumée innocente jusqu’à ce que sa culpabilité ait été légalement établie. » Sur la recevabilité Thèses des parties</w:t>
      </w:r>
    </w:p>
    <w:p>
      <w:r>
        <w:rPr>
          <w:b/>
        </w:rPr>
        <w:t>E. 21</w:t>
      </w:r>
    </w:p>
    <w:p>
      <w:r>
        <w:t>Le Gouvernement soutient que l’article 6 § 2 est inapplicable dans la présente affaire, d’une part, eu égard à l’objet de la décision du juge d’instruction, portant sur la recevabilité de la constitution de partie civile, et, d’autre part, en ce que la mise en examen du requérant était intervenue postérieurement à la décision d’irrecevabilité litigieuse. Le requérant combat cette thèse. Appréciation de la Cour</w:t>
      </w:r>
    </w:p>
    <w:p>
      <w:r>
        <w:rPr>
          <w:b/>
        </w:rPr>
        <w:t>E. 22</w:t>
      </w:r>
    </w:p>
    <w:p>
      <w:r>
        <w:t>La Cour rappelle que l’article 6 § 2 s’applique lorsqu’une personne est « accusée d’une infraction », au sens autonome de sa jurisprudence, et qu’il y a « accusation en matière pénale », dès lors qu’un individu se voit officiellement reprocher d’avoir commis une infraction pénale par les autorités compétentes, ou que les actes effectués par celles-ci en raison des soupçons qui pèsent sur l’intéressé ont des répercussions importantes sur sa situation. C’est la survenue du premier de ces événements, indépendamment de leur ordre chronologique, qui déclenche l’application de l’article 6 sous son volet pénal ( Farzaliyev c. Azerbaïdjan , n o 29620/07, § 45, 28 mai 2020, et les références qui y sont citées). La Cour rappelle par ailleurs que l’article 6 § 2 peut s’appliquer aux décisions de justice rendues dans le cadre d’une procédure qui n’est pas dirigée contre un requérant en qualité d’accusé, mais qui concerne un procès pénal en cours et est liée à celui-ci ( Diamantides c. Grèce (n o 2) , n o 71563/01, §§ 32-36, 19 mai 2005).</w:t>
      </w:r>
    </w:p>
    <w:p>
      <w:r>
        <w:rPr>
          <w:b/>
        </w:rPr>
        <w:t>E. 23</w:t>
      </w:r>
    </w:p>
    <w:p>
      <w:r>
        <w:t>Elle relève que, dans le cadre de l’instruction ouverte en 2019, la constitution de partie civile du requérant a été déclarée irrecevable le 12 septembre 2019 et l’intéressé a été mis en examen et placé sous le statut de témoin assisté le 21 janvier 2020. La décision d’irrecevabilité a ensuite été confirmée en appel le 22 juin 2020 et la Cour de cassation a rejeté le pourvoi du requérant le 30 mars 2021 en des termes qu’il critique.</w:t>
      </w:r>
    </w:p>
    <w:p>
      <w:r>
        <w:rPr>
          <w:b/>
        </w:rPr>
        <w:t>E. 24</w:t>
      </w:r>
    </w:p>
    <w:p>
      <w:r>
        <w:t>Ainsi, d’une part, les arrêts de la chambre de l’instruction et de la Cour de cassation ont été adoptées après la mise en examen du requérant et pendant l’instruction pénale le visant. D’autre part, bien que la décision relative à l’irrecevabilité de constitution de partie civile ne portât pas, en soi, sur l’accusation pénale du requérant (voir aussi paragraphe 33 ci-dessous), elle présentait un lien étroit avec la mise en examen de l’intéressé. Dans ces conditions, la Cour conclut à l’applicabilité de l’article 6 § 2 de la Convention.</w:t>
      </w:r>
    </w:p>
    <w:p>
      <w:r>
        <w:rPr>
          <w:b/>
        </w:rPr>
        <w:t>E. 25</w:t>
      </w:r>
    </w:p>
    <w:p>
      <w:r>
        <w:t>Constatant que la requête n’est pas manifestement mal fondée ni irrecevable pour un autre motif visé à l’article 35 de la Convention, la Cour la déclare recevable. Sur le fond Thèses des parties</w:t>
      </w:r>
    </w:p>
    <w:p>
      <w:r>
        <w:rPr>
          <w:b/>
        </w:rPr>
        <w:t>E. 26</w:t>
      </w:r>
    </w:p>
    <w:p>
      <w:r>
        <w:t>Le requérant soutient que le fait de cumuler les qualités de partie civile et de mis en examen était possible, dès lors qu’il s’agissait de faits distincts. Il fait valoir que la chambre de l’instruction a employé l’indicatif plutôt que le conditionnel et n’a aucunement nuancé ses propos pour refléter un état de suspicion. Le requérant considère que les motifs retenus tant par la chambre de l’instruction que par la Cour de cassation laissent clairement entendre qu’il avait participé à la commission d’infractions pénales pour lesquelles sa culpabilité n’a jamais été légalement établie.</w:t>
      </w:r>
    </w:p>
    <w:p>
      <w:r>
        <w:rPr>
          <w:b/>
        </w:rPr>
        <w:t>E. 27</w:t>
      </w:r>
    </w:p>
    <w:p>
      <w:r>
        <w:t>Le Gouvernement soutient que la motivation de la décision d’irrecevabilité imposait nécessairement de faire ressortir de la procédure des éléments « à charge » associés au contexte. Il estime que le requérant ne pouvait cumuler les qualités de mis en examen (et de témoin assisté) et de partie civile, car il ne pouvait être à la fois victime et auteur des fraudes dans la comptabilité de l’entreprise.</w:t>
      </w:r>
    </w:p>
    <w:p>
      <w:r>
        <w:rPr>
          <w:b/>
        </w:rPr>
        <w:t>E. 28</w:t>
      </w:r>
    </w:p>
    <w:p>
      <w:r>
        <w:t>Le Gouvernement se réfère également aux termes employés par la chambre de l’instruction (« existence de présomption fortes », « existence d’indices », « susceptibles de se voir reprocher des faits », « susceptibles d’entraîner la qualification pénale » ; paragraphe 13 ci-dessus), ainsi que par la Cour de cassation (« la possible implication » dans les faits ; paragraphe 15 ci-dessus). Il en conclut que le raisonnement et le vocabulaire des arrêts critiqués faisaient uniquement ressortir un état de suspicion et non une analyse de la culpabilité du requérant. Appréciation de la Cour a) Les principes généraux</w:t>
      </w:r>
    </w:p>
    <w:p>
      <w:r>
        <w:rPr>
          <w:b/>
        </w:rPr>
        <w:t>E. 29</w:t>
      </w:r>
    </w:p>
    <w:p>
      <w:r>
        <w:t>La Cour rappelle que la présomption d’innocence consacrée par l’article 6 § 2 figure parmi les éléments du procès pénal équitable exigé par l’article 6 § 1. Elle se trouve méconnue si une déclaration ou une décision officielle concernant un accusé reflète le sentiment qu’il est coupable, alors que sa culpabilité n’a pas encore été légalement établie. Il suffit, même en l’absence de constat formel, d’une motivation donnant à penser que le magistrat ou l’agent de l’État considère l’intéressé comme coupable, et l’expression prématurée d’une telle opinion par le tribunal lui-même bafoue incontestablement la présomption d’innocence (voir, parmi d’autres, Deweer c. Belgique , 27 février 1980, § 56, série A n o 35, Minelli c. Suisse , 25 mars 1983, §§ 27, 30 et 37, série A n o 62, Allenet de Ribemont c. France , 10 février 1995, série A n o 308, §§ 35-36, Daktaras c. Lituanie , n o 42095/98, §§ 41-44, CEDH 2000 ‑ X, et Matijašević c. Serbie , n o 23037/04, § 45, CEDH 2006-X).</w:t>
      </w:r>
    </w:p>
    <w:p>
      <w:r>
        <w:rPr>
          <w:b/>
        </w:rPr>
        <w:t>E. 30</w:t>
      </w:r>
    </w:p>
    <w:p>
      <w:r>
        <w:t>En d’autres termes, imputer une responsabilité pénale à une personne, c’est refléter le sentiment que celle-ci est coupable au regard de la norme régissant la perpétration de l’infraction pénale ( Nealon et Hallam c. Royaume-Uni [GC], n os 32483/19 et 35049/19, § 168, 11 juin 2024, avec la jurisprudence qui s’y trouve citée).</w:t>
      </w:r>
    </w:p>
    <w:p>
      <w:r>
        <w:rPr>
          <w:b/>
        </w:rPr>
        <w:t>E. 31</w:t>
      </w:r>
    </w:p>
    <w:p>
      <w:r>
        <w:t>Pour un exposé plus ample des principes généraux en matière du droit à la présomption d’innocence, la Cour renvoie aux arrêts Lagardère c. France (n o 18851/07, §§ 73-75, 12 avril 2012), Urat c. Türkiye (n os 53561/09 et 13952/11, §§ 51-52, 27 novembre 2018), Rigolio c. Italie (n o 20148/09, §§ 91-96, 9 mars 2023), ainsi que Nealon et Hallam (précité, §§ 101 et suivants). b) L’application en l’espèce</w:t>
      </w:r>
    </w:p>
    <w:p>
      <w:r>
        <w:rPr>
          <w:b/>
        </w:rPr>
        <w:t>E. 32</w:t>
      </w:r>
    </w:p>
    <w:p>
      <w:r>
        <w:t>La Cour relève que le requérant a été mis en examen du chef de confirmation d’informations mensongères par commissaire au compte et placé sous le statut de témoin assisté du chef de non-révélation de faits délictueux par commissaire aux comptes. Sa constitution de partie civile, en tant que victime de faits distincts mais connexes (faux et usage de faux, obstacle aux vérifications du commissaire aux comptes), a été déclarée irrecevable (paragraphes 9 et 10 ci-dessus).</w:t>
      </w:r>
    </w:p>
    <w:p>
      <w:r>
        <w:rPr>
          <w:b/>
        </w:rPr>
        <w:t>E. 33</w:t>
      </w:r>
    </w:p>
    <w:p>
      <w:r>
        <w:t>. À cet égard, la Cour précise d’emblée que, dans le cadre de la présente affaire, elle est amenée à se prononcer, au regard de l’article 6 § 2, sur les termes employés par les juridictions, mais non pas sur le bien-fondé de la décision relative à l’irrecevabilité de constitution de partie civile, pas plus que sur la règle procédurale relative à l’accès au dossier d’une personne dont la constitution de partie civile est contestée. Elle considère ainsi que la décision du juge d’instruction relative à l’irrecevabilité de la constitution de partie civile du requérant n’a pas été de nature à méconnaître, en soi, le droit de celui-ci d’être présumé innocent (voir, mutatis mutandis , Larrañaga Arando et autres c. Espagne (déc.), n o 73911/16 et 3 autres, 25 juin 2019). Elle constate par ailleurs que requérant ne critique pas les termes de l’ordonnance du juge d’instruction.</w:t>
      </w:r>
    </w:p>
    <w:p>
      <w:r>
        <w:rPr>
          <w:b/>
        </w:rPr>
        <w:t>E. 34</w:t>
      </w:r>
    </w:p>
    <w:p>
      <w:r>
        <w:t>. Pour ce qui est de la chambre de l’instruction, elle a, dans un premier temps, considéré dans son arrêt que le requérant, n’étant pas personnellement engagé par le groupe, n’avait pas la qualité pour agir à titre personnel (paragraphe 12 ci-dessus). Dans un deuxième temps, elle a validé le raisonnement du juge d’instruction, en estimant que celui-ci n’avait pas méconnu le droit à la présomption d’innocence, dès lors qu’il s’était « borné à relever l’existence d’ indices à l’encontre des plaignants d’avoir manqué à leurs obligations professionnelles de sorte qu’ils étaient susceptibles de se voir reprocher toute ou partie des faits », et que la plainte apparaissait destinée à tenter de s’exonérer de la responsabilité pénale (paragraphe 13 ci ‑ dessus). De l’avis de la Cour, ces termes, employés à l’égard des sociétés et non pas du requérant et décrivant un état de suspicion, n’ont pas enfreint le droit de ce dernier à la présomption d’innocence.</w:t>
      </w:r>
    </w:p>
    <w:p>
      <w:r>
        <w:rPr>
          <w:b/>
        </w:rPr>
        <w:t>E. 35</w:t>
      </w:r>
    </w:p>
    <w:p>
      <w:r>
        <w:t>La Cour de cassation, quant à elle, a confirmé le raisonnement de la chambre de l’instruction, énonçant, en termes généraux et abstraits, que l’irrecevabilité d’une constitution de partie civile pouvait être valablement motivée par « la possible implication » de la personne dans les faits à raison desquels l’information a été ouverte (paragraphe 15 ci-dessus).</w:t>
      </w:r>
    </w:p>
    <w:p>
      <w:r>
        <w:rPr>
          <w:b/>
        </w:rPr>
        <w:t>E. 36</w:t>
      </w:r>
    </w:p>
    <w:p>
      <w:r>
        <w:t>Elle a poursuivi, au paragraphe 31 de son arrêt, qu’il ressortait de la procédure pénale qu’il y avait eu des « manquements graves de la part de ces sociétés, susceptibles de relever de la qualification de non-révélation d’infractions dont elles ne pouvaient ignorer l’existence ». Ce raisonnement consiste à qualifier les agissement des sociétés P.A. et P.E. et non pas du requérant. Il en est de même des paragraphes 32 et 33 de l’arrêt, quelle que soit l’interprétation qu’on veuille leur donner. La Cour relève qu’en tout état de cause le requérant ne critique pas les termes des paragraphes 31 à 34 de l’arrêt de la Cour de cassation.</w:t>
      </w:r>
    </w:p>
    <w:p>
      <w:r>
        <w:rPr>
          <w:b/>
        </w:rPr>
        <w:t>E. 37</w:t>
      </w:r>
    </w:p>
    <w:p>
      <w:r>
        <w:t>En revanche, au paragraphe 35 de son arrêt, la Cour de cassation a affirmé que le requérant avait « participé à un concert frauduleux visant à masquer une situation financière obérée ». De l’avis de la Cour, la notion de « participation à un concert frauduleux » est équivoque et s’apparente à la notion de fraude qui ne relève pas de la sphère purement pénale (comparer avec Rigolio , précité, §§ 116-117). Cependant, suivie de et aggravée par l’expression « visant à masquer une situation financière obérée », cette phrase acquiert un sens pouvant être raisonnablement interprété comme imputant au requérant la responsabilité pénale pour confirmation d’informations mensongères par commissaire aux comptes, délit pour lequel il était mis en examen (voir Nešťák c. Slovaquie , n o 65559/01, § 88, 27 février 2007, Urat , précité, §§ 58-59, Pasquini c. Saint-Marin (n o 2) , n o 23349/17, §§ 53-54, 20 octobre 2020, ainsi que U.Y. c. Türkiye , n o 58073/17, § 47, 10 octobre 2023).</w:t>
      </w:r>
    </w:p>
    <w:p>
      <w:r>
        <w:rPr>
          <w:b/>
        </w:rPr>
        <w:t>E. 38</w:t>
      </w:r>
    </w:p>
    <w:p>
      <w:r>
        <w:t>Compte tenu des termes employés par la Cour de cassation, la Cour conclut donc qu’il y a eu violation de l’article 6 § 2 de la Convention SUR L’APPLICATION DE L’ARTICLE</w:t>
      </w:r>
    </w:p>
    <w:p>
      <w:r>
        <w:rPr>
          <w:b/>
        </w:rPr>
        <w:t>E. 41</w:t>
      </w:r>
    </w:p>
    <w:p>
      <w:r>
        <w:t>La Cour rappelle qu’elle est guidée par le principe de l’équité, qui implique avant tout une certaine souplesse et un examen objectif de ce qui est juste, équitable et raisonnable, compte tenu de l’ensemble des circonstances de l’affaire, c’est-à-dire non seulement de la situation du requérant, mais aussi du contexte général dans lequel la violation a été commise ( Varnava et autres c. Turquie [GC], n os 16064/90 et 8 autres, § 224, CEDH 2009, et les références y citées).</w:t>
      </w:r>
    </w:p>
    <w:p>
      <w:r>
        <w:rPr>
          <w:b/>
        </w:rPr>
        <w:t>E. 42</w:t>
      </w:r>
    </w:p>
    <w:p>
      <w:r>
        <w:t>Elle rappelle également qu’aucune disposition ne prévoit expressément le versement d’une indemnité pour dommage moral. Dans son approche concernant l’octroi d’une satisfaction équitable, qui varie d’une affaire à l’autre, la Cour établit une distinction entre les situations où le requérant a subi un traumatisme évident, des douleurs et souffrances, de la détresse, de l’angoisse, de la frustration, des sentiments d’injustice ou d’humiliation, une incertitude prolongée, une perturbation dans sa vie ou une véritable perte de chances, et les situations où la reconnaissance publique, dans un arrêt contraignant pour l’État contractant, du préjudice souffert par le requérant représente en soi une forme efficace de réparation ( ibidem ).</w:t>
      </w:r>
    </w:p>
    <w:p>
      <w:r>
        <w:rPr>
          <w:b/>
        </w:rPr>
        <w:t>E. 43</w:t>
      </w:r>
    </w:p>
    <w:p>
      <w:r>
        <w:t>Compte tenu des circonstances particulières de l’affaire, la Cour estime approprié de ne pas allouer d’indemnité pour dommage moral. Elle rejette la demande du requérant et dit qu’un constat d’une violation fournit en soi une satisfaction équitable suffisante pour le dommage moral subi par celui-ci.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