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47533/99 vom 4. Mai 2006</w:t>
      </w:r>
    </w:p>
    <w:p>
      <w:r>
        <w:t>Ecthr Chamber, 2006-05-04, FR</w:t>
      </w:r>
    </w:p>
    <w:p>
      <w:r>
        <w:rPr>
          <w:b/>
        </w:rPr>
        <w:t xml:space="preserve">Quelle: </w:t>
      </w:r>
      <w:r>
        <w:t>https://mcp.opencaselaw.ch/entscheid/ecthr_chamber_47533_99</w:t>
      </w:r>
    </w:p>
    <w:p>
      <w:r>
        <w:t>FR: ECTHR_CHAMBER 47533/99 du 4 mai 2006</w:t>
      </w:r>
    </w:p>
    <w:p>
      <w:r>
        <w:t>IT: ECTHR_CHAMBER 47533/99 del 4 maggio 2006</w:t>
      </w:r>
    </w:p>
    <w:p>
      <w:pPr>
        <w:pStyle w:val="Heading2"/>
      </w:pPr>
      <w:r>
        <w:t>Regeste</w:t>
      </w:r>
    </w:p>
    <w:p>
      <w:r>
        <w:t>Violation de l'art. 10;Violation de l'art. 6-1 (indépendance et impartialité du Tribunal de l'état-major);Non-lieu à examiner l'art. 6 (autre grief);Préjudice moral - réparation pécuniaire;Remboursement partiel frais et dépens - procédures nationale et de la Convention; Violation: 10;6;6-1</w:t>
      </w:r>
    </w:p>
    <w:p>
      <w:pPr>
        <w:pStyle w:val="Heading2"/>
      </w:pPr>
      <w:r>
        <w:t>Erwägungen</w:t>
      </w:r>
    </w:p>
    <w:p>
      <w:r>
        <w:rPr>
          <w:b/>
        </w:rPr>
        <w:t>E. 26</w:t>
      </w:r>
    </w:p>
    <w:p>
      <w:r>
        <w:t>Le requérant allègue que sa condamnation au pénal a enfreint son droit à la liberté d’expression tel que garanti par l’article 10 de la Convention, lequel, en ses passages pertinents, est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 » A. Sur la recevabilité</w:t>
      </w:r>
    </w:p>
    <w:p>
      <w:r>
        <w:rPr>
          <w:b/>
        </w:rPr>
        <w:t>E. 27</w:t>
      </w:r>
    </w:p>
    <w:p>
      <w:r>
        <w:t>La Cour constate que le grief n’est pas manifestement mal fondé au sens de l’article 35 § 3 de la Convention. Elle relève par ailleurs que celui-ci ne se heurte à aucun autre motif d’irrecevabilité. Il convient donc de le déclarer recevable. B. Sur le fond</w:t>
      </w:r>
    </w:p>
    <w:p>
      <w:r>
        <w:rPr>
          <w:b/>
        </w:rPr>
        <w:t>E. 28</w:t>
      </w:r>
    </w:p>
    <w:p>
      <w:r>
        <w:t>La Cour note qu’il ne prête pas à controverse entre les parties que la condamnation litigieuse constituait une ingérence dans le droit du requérant à la liberté d’expression, protégé par l’article 10 § 1. Il n’est pas davantage contesté que l’ingérence était prévue par la loi et poursuivait un but légitime au sens de l’article 10 § 2, à savoir la défense de l’ordre ( Yağmurdereli c. Turquie , n o 29590/96, § 40, 4 juin 2002). La Cour souscrit à cette appréciation. En l’occurrence, le différend porte sur la question de savoir si l’ingérence était « nécessaire dans une société démocratique ».</w:t>
      </w:r>
    </w:p>
    <w:p>
      <w:r>
        <w:rPr>
          <w:b/>
        </w:rPr>
        <w:t>E. 29</w:t>
      </w:r>
    </w:p>
    <w:p>
      <w:r>
        <w:t>Le Gouvernement soutient que la condamnation du requérant était nécessaire dans une société démocratique, dans la mesure où l’article était offensant pour les blessés et les familles des appelés tués lors du service militaire, et que les propos contre le service militaire étaient contraires à la morale et à l’intérêt public.</w:t>
      </w:r>
    </w:p>
    <w:p>
      <w:r>
        <w:rPr>
          <w:b/>
        </w:rPr>
        <w:t>E. 30</w:t>
      </w:r>
    </w:p>
    <w:p>
      <w:r>
        <w:t>La Cour a déjà traité des affaires soulevant des questions semblables à celles de l’espèce, et dans lesquelles elle a constaté la violation de l’article 10 de la Convention (voir, notamment, Ceylan c. Turquie [GC], n o 23556/94, § 38, CEDH 1999 ‑ IV, Öztürk c. Turquie [GC], n o 22479/93, § 74, CEDH 1999 ‑ VI, İbrahim Aksoy c. Turquie , n os 28635/95, 30171/96 et 34535/97, § 80, 10 octobre 2000, Karkın c. Turquie , n o 43928/98, § 39, 23 septembre 2003, et Kızılyaprak c. Turquie , n o 27528/95, § 43, 2 octobre 2003).</w:t>
      </w:r>
    </w:p>
    <w:p>
      <w:r>
        <w:rPr>
          <w:b/>
        </w:rPr>
        <w:t>E. 31</w:t>
      </w:r>
    </w:p>
    <w:p>
      <w:r>
        <w:t>Après avoir examiné la présente affaire à la lumière de sa jurisprudence, la Cour considère que le Gouvernement n’a présenté aucun fait ni argument pouvant mener à une conclusion différente dans le cas présent. Elle a porté une attention particulière aux termes employés dans l’article et au contexte dans lequel il a été publié. A cet égard, elle a tenu compte des circonstances entourant le cas soumis à son examen, en particulier des difficultés liées à la lutte contre le terrorisme ( İbrahim Aksoy , précité, § 60, et Incal c. Turquie , arrêt du 9 juin 1998, Recueil des arrêts et décisions 1998 ‑ IV, p. 1568, § 58).</w:t>
      </w:r>
    </w:p>
    <w:p>
      <w:r>
        <w:rPr>
          <w:b/>
        </w:rPr>
        <w:t>E. 32</w:t>
      </w:r>
    </w:p>
    <w:p>
      <w:r>
        <w:t>L’article litigieux consistait en une critique du cérémonial, devenu traditionnel, des départs au service militaire. Dans un langage littéraire, l’auteur expliquait que l’enthousiasme accompagnant ces départs niait la fin tragique qui attendait une partie des appelés, à savoir la mort ou la mutilation.</w:t>
      </w:r>
    </w:p>
    <w:p>
      <w:r>
        <w:rPr>
          <w:b/>
        </w:rPr>
        <w:t>E. 33</w:t>
      </w:r>
    </w:p>
    <w:p>
      <w:r>
        <w:t>La Cour relève que le Tribunal de l’état-major a estimé que l’article litigieux contenait des termes contraires à la morale et à l’ordre public.</w:t>
      </w:r>
    </w:p>
    <w:p>
      <w:r>
        <w:rPr>
          <w:b/>
        </w:rPr>
        <w:t>E. 34</w:t>
      </w:r>
    </w:p>
    <w:p>
      <w:r>
        <w:t>La Cour a examiné les motifs figurant dans les décisions des juridictions internes, lesquels, en tant que tels, ne sauraient être considérés comme suffisants pour justifier l’ingérence dans le droit du requérant à la liberté d’expression (voir, mutatis mutandis , Sürek c. Turquie (n o 4) [GC], n o 24762/94, § 58, 8 juillet 1999). Elle observe notamment que, si les propos contenus dans l’article litigieux donnent au récit une connotation hostile au service militaire, ils n’exhortent pas pour autant à l’usage de la violence, à la résistance armée, ou au soulèvement, et qu’il ne s’agit pas d’un discours de haine, ce qui, aux yeux de la Cour, est l’élément essentiel à prendre en considération (voir, a contrario , Sürek c. Turquie (n o 1) [GC], n o 26682/95, § 62, CEDH 1999 ‑ IV, et Gerger c. Turquie [GC], n o 24919/94, § 50, 8 juillet 1999). Par ailleurs, le contexte dans lequel ces propos ont été exprimés se distingue également, du point de vue de leur impact potentiel, de celui de l’affaire Arrowsmith c. Royaume–Uni , où la requérante, pacifiste activiste, avait distribué un tract incitant à la désertion dans un camp militaire où étaient stationnés des bataillons qui devaient prochainement être envoyés en Irlande du Nord (voir Arrowsmith c. Royaume-Uni , n o 7050/75, rapport de la Commission du 12 octobre 1978, Décisions et Rapports (DR) 19, p. 5). En l’espèce, l’article litigieux était publié dans un journal et destiné à un large public. Il ne visait, ni dans sa forme, ni dans son contenu, à provoquer une désertion immédiate.</w:t>
      </w:r>
    </w:p>
    <w:p>
      <w:r>
        <w:rPr>
          <w:b/>
        </w:rPr>
        <w:t>E. 35</w:t>
      </w:r>
    </w:p>
    <w:p>
      <w:r>
        <w:t>La Cour rappelle que l’adjectif « nécessaire », au sens de l’article 10 § 2, implique un « besoin social impérieux ». Les Etats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que protège l’article 10. La Cour estime que la condamnation du requérant au pénal ne répondait pas à un besoin social impérieux. Partant, l’ingérence s’avère non « nécessaire dans une société démocratique ». Il y a donc eu violation de l’article 10 de la Convention. II. SUR LA VIOLATION ALLÉGUÉE DE L’ARTICLE 6 § 1 DE LA CONVENTION</w:t>
      </w:r>
    </w:p>
    <w:p>
      <w:r>
        <w:rPr>
          <w:b/>
        </w:rPr>
        <w:t>E. 36</w:t>
      </w:r>
    </w:p>
    <w:p>
      <w:r>
        <w:t>Le requérant allègue que le Tribunal de l’état-major qui l’a jugé ne saurait passer pour un tribunal indépendant et impartial dès lors qu’il se composait de deux juges militaires et d’un officier, tous trois étant liés par les ordres et instructions du ministère de la Défense et de l’état-major général qui procèdent à leur nomination. A cet égard, il soutient que le fait d’avoir dû, en tant que civil, comparaître devant une juridiction composée exclusivement de militaires constitue en soi une violation de cette disposition. Le requérant se plaint en outre du défaut de communication de l’avis du procureur général près la Cour de cassation militaire. Il y voit une violation de l’article 6 §§ 1 et 3 b) de la Convention qui, en ses passages pertinents, se lit ainsi : « 1. Toute personne a droit à ce que sa cause soit entendue équitablement, publiquement (...) par un tribunal indépendant et impartial (...) qui décidera (...) du bien-fondé de toute accusation en matière pénale dirigée contre elle (...) (...) 3. Tout accusé a droit notamment à : (...) b) disposer du temps et des facilités nécessaires à la préparation de sa défense ; (...) » A. Sur la recevabilité</w:t>
      </w:r>
    </w:p>
    <w:p>
      <w:r>
        <w:rPr>
          <w:b/>
        </w:rPr>
        <w:t>E. 37</w:t>
      </w:r>
    </w:p>
    <w:p>
      <w:r>
        <w:t>La Cour constate que les griefs ne sont pas manifestement mal fondés au sens de l’article 35 § 3 de la Convention. La Cour relève par ailleurs que ceux-ci ne se heurtent à aucun autre motif d’irrecevabilité. Il convient donc de les déclarer recevables. B. Sur le fond 1. Sur l’indépendance et l’impartialité du Tribunal de l’état-major a) Principes généraux</w:t>
      </w:r>
    </w:p>
    <w:p>
      <w:r>
        <w:rPr>
          <w:b/>
        </w:rPr>
        <w:t>E. 38</w:t>
      </w:r>
    </w:p>
    <w:p>
      <w:r>
        <w:t>La Cour réaffirme d’emblée que, pour établir si un tribunal peut passer pour « indépendant » aux fins de l’article 6 § 1, il faut prendre en compte, notamment, le mode de désignation et la durée du mandat de ses membres, l’existence d’une protection contre les pressions extérieures et le point de savoir s’il y a ou non apparence d’indépendance (voir, parmi beaucoup d’autres, l’arrêt Zolotas c. Grèce , n o 38240/02, § 24, 2 juin 2005). Quant à la question de l’impartialité d’un tribunal, dans le contexte spécifique de la présente affaire, il convient de l’apprécier selon une démarche objective, amenant à s’assurer que celui-ci offrait des garanties suffisantes pour exclure à cet égard tout doute légitime (voir, parmi beaucoup d’autres, les arrêts Bulut c. Autriche du 22 février 1996, Recueil 1996-II, p. 356, § 31, et Thomann c. Suisse du 10 juin 1996, Recueil 1996 ‑ III, p. 815, § 30).</w:t>
      </w:r>
    </w:p>
    <w:p>
      <w:r>
        <w:rPr>
          <w:b/>
        </w:rPr>
        <w:t>E. 39</w:t>
      </w:r>
    </w:p>
    <w:p>
      <w:r>
        <w:t>La Cour observe qu’il convient de faire une distinction entre les procédures civiles et administratives d’une part, et les procédures pénales d’autre part. Les circonstances entourant le cas de l’espèce concernant une procédure pénale, la Cour limitera son examen à ce domaine précis (pour une analyse de la compétence de juridictions militaires dans une affaire civile ou administrative, voir, par exemple, Aksoy (Eroğlu) c. Turquie (déc.), n o 59741/00, 3 novembre 2005).</w:t>
      </w:r>
    </w:p>
    <w:p>
      <w:r>
        <w:rPr>
          <w:b/>
        </w:rPr>
        <w:t>E. 40</w:t>
      </w:r>
    </w:p>
    <w:p>
      <w:r>
        <w:t>La Cour rappelle que la Convention n’interdit pas que les tribunaux militaires statuent sur des accusations en matière pénale contre des membres du personnel relevant de l’armée, à condition que soient respectées les garanties d’indépendance et d’impartialité prévues à l’article 6 § 1 ( Morris c. Royaume-Uni , n o 38784/97, § 59, CEDH 2002 ‑ I, Cooper c. Royaume-Uni [GC], n o 48843/99, § 106, CEDH 2003 ‑ XII, et Önen c. Turquie , (déc.), n o 32860/96, 10 février 2004).</w:t>
      </w:r>
    </w:p>
    <w:p>
      <w:r>
        <w:rPr>
          <w:b/>
        </w:rPr>
        <w:t>E. 41</w:t>
      </w:r>
    </w:p>
    <w:p>
      <w:r>
        <w:t>Toutefois, il en va différemment lorsque la législation nationale habilite ce type de juridictions à juger des civils en matière pénale.</w:t>
      </w:r>
    </w:p>
    <w:p>
      <w:r>
        <w:rPr>
          <w:b/>
        </w:rPr>
        <w:t>E. 42</w:t>
      </w:r>
    </w:p>
    <w:p>
      <w:r>
        <w:t>La Cour observe que l’on ne saurait soutenir que la Convention exclue absolument la compétence des tribunaux militaires pour connaître d’affaires impliquant des civils. Cependant, l’existence d’une telle compétence devrait faire l’objet d’un examen particulièrement rigoureux.</w:t>
      </w:r>
    </w:p>
    <w:p>
      <w:r>
        <w:rPr>
          <w:b/>
        </w:rPr>
        <w:t>E. 43</w:t>
      </w:r>
    </w:p>
    <w:p>
      <w:r>
        <w:t>La Cour a d’ailleurs attaché de l’importance dans nombre de précédents à la circonstance qu’un civil doive comparaître devant une juridiction composée, même en partie seulement, de militaires (voir, en dernier lieu, Öcalan c. Turquie [GC], n o 46221/99, § 116, CEDH 2005 ‑ ..., et Şahiner c. Turquie , n o 29279/95, § 45, CEDH 2001 ‑ IX). Elle a considéré que pareille situation mettait gravement en cause la confiance que les juridictions se doivent d’inspirer dans une société démocratique (voir, mutatis mutandis , Canevi et autres c. Turquie , n o 40395/98, § 33, 10 novembre 2004).</w:t>
      </w:r>
    </w:p>
    <w:p>
      <w:r>
        <w:rPr>
          <w:b/>
        </w:rPr>
        <w:t>E. 44</w:t>
      </w:r>
    </w:p>
    <w:p>
      <w:r>
        <w:t>Cette préoccupation, qui vaut à plus forte raison lorsqu’il s’agit d’un tribunal composé exclusivement de magistrats militaires, amène la Cour à affirmer que le fait que pareils tribunaux décident d’accusations en matière pénale dirigées contre des civils ne peut être jugé conforme à l’article 6 que dans des circonstances exceptionnelles.</w:t>
      </w:r>
    </w:p>
    <w:p>
      <w:r>
        <w:rPr>
          <w:b/>
        </w:rPr>
        <w:t>E. 45</w:t>
      </w:r>
    </w:p>
    <w:p>
      <w:r>
        <w:t>La Cour est confortée dans son approche par l’évolution qui a marqué la dernière décennie au niveau international (paragraphes 22-25 ci ‑ dessus) et qui confirme l’existence d’une tendance à exclure la juridiction de tribunaux militaires du domaine pénal lorsqu’il s’agit de juger des civils. A cet égard, il y a lieu de rappeler le rapport sur les questions de l’administration de la justice par les tribunaux militaires, soumis à la sous-commission compétente des Nations unies. Ce texte énonce, dans son principe n o 5, que « les juridictions militaires doivent, par principe, être incompétentes pour juger des civils. En toutes circonstances, l’Etat doit veiller à ce que les civils accusés d’une infraction pénale, quelle qu’en soit la nature, soient jugés par les tribunaux civils ». Une position similaire avait déjà été adoptée par la Cour interaméricaine des droits de l’Homme (voir, par exemple, Durand et Ugarte c. Pérou , 16 août 2000, § 117, cité au paragraphe 25 ci-dessus), qui avait souligné que la juridiction militaire était établie dans diverses lois, dans le but de maintenir l’ordre et la discipline au sein des forces armées. Sa compétence devait donc être réservée au personnel militaire ayant commis des crimes ou délits lors de l’exercice de leurs devoirs.</w:t>
      </w:r>
    </w:p>
    <w:p>
      <w:r>
        <w:rPr>
          <w:b/>
        </w:rPr>
        <w:t>E. 46</w:t>
      </w:r>
    </w:p>
    <w:p>
      <w:r>
        <w:t>La Cour rappelle la place particulière qu’occupe l’armée dans l’organisation constitutionnelle des Etats démocratiques, qui doit être limitée au domaine de la sécurité nationale, le pouvoir judiciaire relevant, pour sa part, en principe du domaine de la société civile. Elle tient également compte de l’existence de règles spéciales régissant l’organisation interne et la structure hiérarchique des forces armées.</w:t>
      </w:r>
    </w:p>
    <w:p>
      <w:r>
        <w:rPr>
          <w:b/>
        </w:rPr>
        <w:t>E. 47</w:t>
      </w:r>
    </w:p>
    <w:p>
      <w:r>
        <w:t>Le pouvoir de la justice pénale militaire ne devrait s’étendre aux civils que s’il existe des raisons impérieuses justifiant une telle situation et ce, en s’appuyant sur une base légale claire et prévisible. L’existence de telles raisons doit être démontrée pour chaque cas, in concreto . L’attribution de certaines catégories de délits aux juridictions militaires faite in abstracto par la législation nationale ne saurait suffire.</w:t>
      </w:r>
    </w:p>
    <w:p>
      <w:r>
        <w:rPr>
          <w:b/>
        </w:rPr>
        <w:t>E. 48</w:t>
      </w:r>
    </w:p>
    <w:p>
      <w:r>
        <w:t>Se contenter d’une telle attribution in abstracto pourrait placer les civils intéressés dans une position sensiblement différente de celle des citoyens jugés par des juridictions ordinaires. Bien que les tribunaux militaires puissent respecter les normes de la Convention dans la même mesure que les juridictions ordinaires, des différences de traitement liés à leur nature et leur raison d’être (paragraphe 45 ci-dessus) peuvent donner lieu à un problème d’inégalité devant la justice, qui devrait être évité autant que faire se peut, notamment en matière pénale.</w:t>
      </w:r>
    </w:p>
    <w:p>
      <w:r>
        <w:rPr>
          <w:b/>
        </w:rPr>
        <w:t>E. 49</w:t>
      </w:r>
    </w:p>
    <w:p>
      <w:r>
        <w:t>Enfin, les situations dans lesquelles un tribunal militaire exerce une juridiction relativement à un civil pour des actes dirigés contre les forces armées, peuvent susciter des doutes raisonnables quant à l’impartialité objective d’un tel tribunal. Un système judiciaire dans le cadre duquel une juridiction militaire est amenée à juger une personne ne relevant pas de l’armée peut facilement être perçu comme annihilant la distance nécessaire entre la juridiction et les parties à une procédure pénale, même s’il existe des mesures de protection suffisantes pour garantir l’indépendance de cette juridiction. b) Application de ces principes en l’espèce</w:t>
      </w:r>
    </w:p>
    <w:p>
      <w:r>
        <w:rPr>
          <w:b/>
        </w:rPr>
        <w:t>E. 50</w:t>
      </w:r>
    </w:p>
    <w:p>
      <w:r>
        <w:t>En l’occurrence, il se révèle malaisé de dissocier les questions d’impartialité et d’indépendance, étant donné que les arguments avancés par le requérant pour contester à la fois l’indépendance et l’impartialité du tribunal se fondent sur les mêmes éléments de fait. La Cour les examinera donc conjointement (voir, par exemple, Şahiner , précité, § 37). 51. A cette fin, la Cour prend d’abord acte des renseignements fournis par le Gouvernement selon lesquels la législation turque a été modifiée de manière à répondre aux exigences de la Convention (paragraphes 18 et 19 ci-dessus). Toutefois, elle précise que sa tâche se limite à l’appréciation des circonstances propres à l’espèce ; elle n’estime pas pouvoir conclure qu’une affaire ne présente plus un intérêt juridique valable pour le requérant au motif que des développements sont survenus dans la législation interne depuis l’époque pertinente ( Sadak et autres c. Turquie , n os 29900/96, 29901/96, 29902/96 et 29903/96, § 38, CEDH 2001 ‑ VIII). 52. La Cour rappelle qu’elle a déjà eu l’occasion de se pencher sur la question de l’indépendance organique du Tribunal de l’état-major à l’égard de l’exécutif, et qu’elle a considéré que la désignation des juges militaires et les garanties qui leur sont accordées dans l’exercice de leur fonction cadraient avec les exigences de l’article 6 § 1 de la Convention ( Önen , précitée). 53. Les circonstances de la présente affaire diffèrent toutefois sensiblement de celles entourant l’affaire de M. Önen, un officier de l’armée qui avait été jugé par une juridiction militaire pour avoir commis un délit à caractère militaire. En effet, il s’agit de la même juridiction dans les deux affaires et de chefs d’accusation similaires, notamment l’incitation à se soustraire au service militaire. Toutefois, en l’espèce, le requérant est une personne civile, un rédacteur en chef, qui n’avait aucune obligation de loyauté envers l’armée. Il ressort du dossier que, par un renvoi en cascade de diverses dispositions de la législation interne (paragraphes 15 et suivants ci-dessus), l’acte de publication reproché au requérant fut qualifié de « délit militaire », et que cela constitue l’unique raison pour laquelle il fut déféré devant le Tribunal de l’état-major. 54. Au vu de ce qui précède, et notamment de la situation au niveau international exposée ci-dessus (paragraphes 22-25), la Cour estime qu’il est compréhensible que le requérant, un civil qui répondait devant un tribunal composé exclusivement de militaires d’infractions relatives à la propagande contre le service militaire, ait redouté de comparaître devant des juges appartenant à l’armée, laquelle peut être assimilée à une partie à la procédure. De ce fait, l’intéressé pouvait légitimement craindre que le Tribunal de l’état-major se laissât indûment guider par des considérations partiales. On peut donc considérer qu’étaient objectivement justifiés les doutes nourris par le requérant quant à l’indépendance et à l’impartialité de cette juridiction ( mutatis mutandis , Incal , précité, p. 1573, § 72 in fine ). Partant, il y a eu violation de l’article 6 § 1 de la Convention. 2. Sur la non-communication de l’avis du procureur général 55. La Cour rappelle avoir déjà jugé dans des affaires similaires qu’un tribunal dont le manque d’indépendance et d’impartialité a été établi ne peut, en toute hypothèse, garantir un procès équitable aux personnes soumises à sa juridiction. 56. Eu égard au constat de violation du droit du requérant à voir sa cause entendue par un tribunal indépendant et impartial auquel elle parvient, la Cour estime qu’il n’y a pas lieu d’examiner l’autre grief tiré de l’article 6 de la Convention (voir, entre autres, Çıraklar c. Turquie , arrêt du 28 octobre 1998, Recueil 1998 ‑ VII, p. 3074, §§ 44-45). III. SUR L’APPLICATION DE L’ARTICLE 41 DE LA CONVENTION 57.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58. Le requérant réclame 5 000 euros (EUR) pour préjudice moral. 59. Le Gouvernement conteste ces prétentions, qu’il estime abusives. 60. En ce qui concerne le dommage moral, la Cour juge que l’intéressé peut passer pour avoir éprouvé un certain désarroi du fait des circonstances de l’espèce. Elle considère qu’il y a lieu d’octroyer au requérant 2 000 EUR au titre du préjudice moral. 61. Pour la Cour, lorsqu’un particulier, comme en l’espèce, a été condamné par un tribunal qui ne remplissait pas les conditions d’indépendance et d’impartialité exigées par la Convention, un nouveau procès ou une réouverture de la procédure, à la demande de l’intéressé, représente en principe un moyen approprié de redresser la violation constatée ( Öcalan , précité, § 210 in fine ). B. Frais et dépens 62. Le requérant demande également 3 000 EUR pour les frais et dépens exposés devant les juridictions internes et la Cour. 63. Le Gouvernement conteste ces prétentions non documentées. 64. 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raisonnable d’accorder au requérant la somme de 1 500 EUR, tous frais confondus. C. Intérêts moratoires 65.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