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43863/02 vom 28. April 2005</w:t>
      </w:r>
    </w:p>
    <w:p>
      <w:r>
        <w:t>Ecthr Chamber, 2005-04-28, FR</w:t>
      </w:r>
    </w:p>
    <w:p>
      <w:r>
        <w:rPr>
          <w:b/>
        </w:rPr>
        <w:t xml:space="preserve">Quelle: </w:t>
      </w:r>
      <w:r>
        <w:t>https://mcp.opencaselaw.ch/entscheid/ecthr_chamber_43863_02</w:t>
      </w:r>
    </w:p>
    <w:p>
      <w:r>
        <w:t>FR: ECTHR_CHAMBER 43863/02 du 28 avril 2005</w:t>
      </w:r>
    </w:p>
    <w:p>
      <w:r>
        <w:t>IT: ECTHR_CHAMBER 43863/02 del 28 aprile 2005</w:t>
      </w:r>
    </w:p>
    <w:p>
      <w:pPr>
        <w:pStyle w:val="Heading2"/>
      </w:pPr>
      <w:r>
        <w:t>Regeste</w:t>
      </w:r>
    </w:p>
    <w:p>
      <w:r>
        <w:t>Violation de l'art. 6-1;Préjudice moral - réparation pécuniaire;Remboursement partiel frais et dépens - procédure de la Convention; Violation: 6;6-1</w:t>
      </w:r>
    </w:p>
    <w:p>
      <w:pPr>
        <w:pStyle w:val="Heading2"/>
      </w:pPr>
      <w:r>
        <w:t>Erwägungen</w:t>
      </w:r>
    </w:p>
    <w:p>
      <w:r>
        <w:rPr>
          <w:b/>
        </w:rPr>
        <w:t>E. 12</w:t>
      </w:r>
    </w:p>
    <w:p>
      <w:r>
        <w:t>La requérante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13</w:t>
      </w:r>
    </w:p>
    <w:p>
      <w:r>
        <w:t>Le Gouvernement s'oppose à cette thèse. Il affirme que la durée de la procédure n'a pas été excessive et que les juridictions saisies ont statué dans des délais raisonnables. Il souligne que la requérante n'a pas cherché à accélérer la procédure et qu'elle a mis plus d'un an et quatre mois pour se pourvoir en cassation. Le Gouvernement se réfère en outre à l'encombrement du rôle des tribunaux à l'époque, encombrement dû à la grève des avocats du barreau d'Athènes qui s'étala sporadiquement du 23 janvier 1989 au 30 juin 1994.</w:t>
      </w:r>
    </w:p>
    <w:p>
      <w:r>
        <w:rPr>
          <w:b/>
        </w:rPr>
        <w:t>E. 14</w:t>
      </w:r>
    </w:p>
    <w:p>
      <w:r>
        <w:t>La période à considérer a débuté le 17 décembre 1993, avec la saisine du tribunal de première instance d'Athènes et s'est terminée le 4 juin 2002, avec l'arrêt n o 991/2002 de la Cour de cassation. Elle a donc duré huit ans, cinq mois et dix-huit jours, pour trois instances. A. Sur la recevabilité</w:t>
      </w:r>
    </w:p>
    <w:p>
      <w:r>
        <w:rPr>
          <w:b/>
        </w:rPr>
        <w:t>E. 15</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16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17</w:t>
      </w:r>
    </w:p>
    <w:p>
      <w:r>
        <w:t>La Cour a traité à maintes reprises d'affaires soulevant des questions semblables à celle du cas d'espèce et a constaté la violation de l'article 6 § 1 de la Convention (voir l'affaire Frydlender précitée).</w:t>
      </w:r>
    </w:p>
    <w:p>
      <w:r>
        <w:rPr>
          <w:b/>
        </w:rPr>
        <w:t>E. 18</w:t>
      </w:r>
    </w:p>
    <w:p>
      <w:r>
        <w:t>Après avoir examiné tous les éléments qui lui ont été soumis, la Cour considère que le Gouvernement n'a exposé aucun fait ni argument pouvant mener à une conclusion différente dans le cas présent. En effet, la Cour observe que, même si la requérante est responsable de certains retards, notamment dans l'introduction de ses recours, force est de constater que, s'agissant d'une durée de plus de huit ans pour trois instances, la lenteur de la procédure résulte essentiellement du comportement des autorités et juridictions saisies. Certes, la Cour ne perd pas de vue que le tribunal de première instance a dû ajourner l'examen de l'affaire jusqu'à ce que les autres procédures engagées par la requérante pour le même objet aboutissent ; toutefois, elle réaffirme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 Comingersoll S.A. c. Portugal [GC], n o 35382/97, § 24, CEDH 2000-IV). Dès lors, compte tenu de sa jurisprudence en la matière, la Cour estime qu'en l'espèce la durée de la procédure litigieuse est excessive et ne répond pas à l'exigence du « délai raisonnable ». Partant, il y a eu violation de l'article 6 § 1. II. SUR L'APPLICATION DE L'ARTICLE 41 DE LA CONVENTION</w:t>
      </w:r>
    </w:p>
    <w:p>
      <w:r>
        <w:rPr>
          <w:b/>
        </w:rPr>
        <w:t>E. 19</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20</w:t>
      </w:r>
    </w:p>
    <w:p>
      <w:r>
        <w:t>La requérante réclame 10 000 euros (EUR) au titre du préjudice moral qu'elle aurait subi.</w:t>
      </w:r>
    </w:p>
    <w:p>
      <w:r>
        <w:rPr>
          <w:b/>
        </w:rPr>
        <w:t>E. 21</w:t>
      </w:r>
    </w:p>
    <w:p>
      <w:r>
        <w:t>Le Gouvernement affirme que la somme demandée est excessive et qu'un constat de violation constituerait en soi une satisfaction équitable suffisante. Alternativement, il estime que la somme allouée à la requérante ne saurait dépasser 500 EUR.</w:t>
      </w:r>
    </w:p>
    <w:p>
      <w:r>
        <w:rPr>
          <w:b/>
        </w:rPr>
        <w:t>E. 22</w:t>
      </w:r>
    </w:p>
    <w:p>
      <w:r>
        <w:t>La Cour estime que la requérante a subi un tort moral certain. Statuant en équité, elle lui accorde 1 200 EUR à ce titre, plus tout montant pouvant être dû à titre d'impôt. B. Frais et dépens</w:t>
      </w:r>
    </w:p>
    <w:p>
      <w:r>
        <w:rPr>
          <w:b/>
        </w:rPr>
        <w:t>E. 23</w:t>
      </w:r>
    </w:p>
    <w:p>
      <w:r>
        <w:t>La requérante demande également 4 281,40 EUR pour les frais et dépens encourus devant la Cour. Elle ne produit pas de facture, mais seulement une note de frais détaillée, dactylographiée et signée par son avocat, sur laquelle figure ce même montant.</w:t>
      </w:r>
    </w:p>
    <w:p>
      <w:r>
        <w:rPr>
          <w:b/>
        </w:rPr>
        <w:t>E. 24</w:t>
      </w:r>
    </w:p>
    <w:p>
      <w:r>
        <w:t>Le Gouvernement affirme que la somme demandée est excessive et non justifiée.</w:t>
      </w:r>
    </w:p>
    <w:p>
      <w:r>
        <w:rPr>
          <w:b/>
        </w:rPr>
        <w:t>E. 25</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26</w:t>
      </w:r>
    </w:p>
    <w:p>
      <w:r>
        <w:t>En l'espèce, compte tenu des éléments en sa possession et des critères susmentionnés, la Cour juge raisonnable d'allouer à la requérante 500 EUR à ce titre, plus tout montant pouvant être dû à titre d'impôt. C. Intérêts moratoires</w:t>
      </w:r>
    </w:p>
    <w:p>
      <w:r>
        <w:rPr>
          <w:b/>
        </w:rPr>
        <w:t>E. 27</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