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43518/04 vom 30. Juni 2009</w:t>
      </w:r>
    </w:p>
    <w:p>
      <w:r>
        <w:t>Ecthr Chamber, 2009-06-30, FR</w:t>
      </w:r>
    </w:p>
    <w:p>
      <w:r>
        <w:rPr>
          <w:b/>
        </w:rPr>
        <w:t xml:space="preserve">Quelle: </w:t>
      </w:r>
      <w:r>
        <w:t>https://mcp.opencaselaw.ch/entscheid/ecthr_chamber_43518_04</w:t>
      </w:r>
    </w:p>
    <w:p>
      <w:r>
        <w:t>FR: ECTHR_CHAMBER 43518/04 du 30 juin 2009</w:t>
      </w:r>
    </w:p>
    <w:p>
      <w:r>
        <w:t>IT: ECTHR_CHAMBER 43518/04 del 30 giugno 2009</w:t>
      </w:r>
    </w:p>
    <w:p>
      <w:pPr>
        <w:pStyle w:val="Heading2"/>
      </w:pPr>
      <w:r>
        <w:t>Regeste</w:t>
      </w:r>
    </w:p>
    <w:p>
      <w:r>
        <w:t>Non-violation de P1-3;Non-violation de l'art. 13; No violation: 13</w:t>
      </w:r>
    </w:p>
    <w:p>
      <w:pPr>
        <w:pStyle w:val="Heading2"/>
      </w:pPr>
      <w:r>
        <w:t>Erwägungen</w:t>
      </w:r>
    </w:p>
    <w:p>
      <w:r>
        <w:rPr>
          <w:b/>
        </w:rPr>
        <w:t>E. 1</w:t>
      </w:r>
    </w:p>
    <w:p>
      <w:r>
        <w:t>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w:t>
      </w:r>
    </w:p>
    <w:p>
      <w:r>
        <w:rPr>
          <w:b/>
        </w:rPr>
        <w:t>E. 2</w:t>
      </w:r>
    </w:p>
    <w:p>
      <w:r>
        <w:t>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Thèses des parties i. Le requérant 46. Dans ses observations complémentaires à la décision de recevabilité de la requête du 1 er décembre 2007, le requérant conteste le caractère prévisible de l'article 44 §</w:t>
      </w:r>
    </w:p>
    <w:p>
      <w:r>
        <w:rPr>
          <w:b/>
        </w:rPr>
        <w:t>E. 4</w:t>
      </w:r>
    </w:p>
    <w:p>
      <w:r>
        <w:t>de la loi organique relative au régime électoral général et dénonce l'absence de but légitime et de nécessité dans une société démocratique. Il estime que les termes de la loi sont très vagues, indéterminés et ambigus, et que ces lacunes n'ont pu être palliées en l'espèce par la jurisprudence interne, cette disposition étant seulement en vigueur depuis le 29 juin 2002. 47. Le requérant soutient en outre que l'objectif de l'ingérence, ainsi que de la LOPP, était d'interdire toutes les expressions politiques de l'indépendantisme basque. Il estime enfin que la mesure dont il a fait l'objet n'était pas proportionnée au but poursuivi. ii. Le Gouvernement 48. Le Gouvernement reproduit sur ce point les observations présentées dans le cadre des affaires Etxeberría et autres c. Espagne susmentionnées. Par conséquent, la Cour renvoie au paragraphe 61 dudit arrêt. b) Appréciation de la Cour 49. La Cour constate que le grief tiré de l'article 10 se rapporte aux mêmes faits que les doléances soulevées sur le terrain de l'article 3 du Protocole n o 1. A cet égard, elle rappelle que cette dernière disposition constitue une lex specialis pour ce qui est de l'exercice du droit de vote (voir Hirst c. Royaume-Uni (n o 2) [GC], n o 74025/01, § 89, CEDH 2005-IX, et Ždanoka précité). Cette considération serait applicable a fortiori au droit subjectif de se porter candidat. Par conséquent, la Cour renvoie aux conclusions présentées dans les affaires Etxeberría et autres (paragraphe 43 ci-dessus) et déclare qu'aucune question distincte ne se pose sous l'angle de l'article 10 de la Convention. III. SUR LA VIOLATION ALLÉGUÉE DE L'ARTICLE 13 DE LA CONVENTION 50. Le requérant se plaint enfin de ce que la procédure contentieuse-électorale devant la chambre spéciale du Tribunal suprême, régie par la loi organique relative au régime électoral général telle que modifiée par la LOPP, ne saurait passer pour un recours effectif, vu notamment les courts délais dont il a disposé. Il invoque l'article 13 de la Convention, lequel prévoit ce qui suit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51. Le Gouvernement note que le Tribunal constitutionnel a suffisamment motivé les limitations que comporte la procédure contentieuse-électorale, le recours d' amparo devant être considéré comme une voie de recours effective au sens de cette disposition. A cet égard, la célérité avec laquelle elle se déroule se justifie par la nécessité de garantir la bonne tenue des élections. En l'espèce, cela n'a nullement constitué un obstacle au respect du principe du contradictoire. En effet, conformément à l'article 61 de la LOPJ, le requérant a pu présenter les allégations qu'il a estimées pertinentes. En tout état de cause, le Gouvernement indique que le requérant ne précise pas dans sa requête quelles sont les allégations qu'il s'est vu empêché de soulever ni quelles preuves il n'a pas pu présenter. 52. La Cour renvoie à cet égard aux arguments exposés aux paragraphes 78 à 82 de l'arrêt Etxeberría et autres susmentionné et conclut par conséquent qu'il n'y a pas eu violation de la disposition invoquée.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