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41107/10 vom 28. Mai 2015</w:t>
      </w:r>
    </w:p>
    <w:p>
      <w:r>
        <w:t>Ecthr Chamber, 2015-05-28, FR</w:t>
      </w:r>
    </w:p>
    <w:p>
      <w:r>
        <w:rPr>
          <w:b/>
        </w:rPr>
        <w:t xml:space="preserve">Quelle: </w:t>
      </w:r>
      <w:r>
        <w:t>https://mcp.opencaselaw.ch/entscheid/ecthr_chamber_41107_10</w:t>
      </w:r>
    </w:p>
    <w:p>
      <w:r>
        <w:t>FR: ECTHR_CHAMBER 41107/10 du 28 mai 2015</w:t>
      </w:r>
    </w:p>
    <w:p>
      <w:r>
        <w:t>IT: ECTHR_CHAMBER 41107/10 del 28 maggio 2015</w:t>
      </w:r>
    </w:p>
    <w:p>
      <w:pPr>
        <w:pStyle w:val="Heading2"/>
      </w:pPr>
      <w:r>
        <w:t>Regeste</w:t>
      </w:r>
    </w:p>
    <w:p>
      <w:r>
        <w:t>Violation de l'article 3 - Interdiction de la torture (Article 3 - Enquête efficace) (Volet procédural);Violation de l'article 8 - Droit au respect de la vie privée et familiale (Article 8 - Obligations positives;Article 8-1 - Respect de la vie privée);Préjudice moral - réparation (Article 41 - Préjudice moral;Satisfaction équitable); Violation: 3;8;8-1</w:t>
      </w:r>
    </w:p>
    <w:p>
      <w:pPr>
        <w:pStyle w:val="Heading2"/>
      </w:pPr>
      <w:r>
        <w:t>Erwägungen</w:t>
      </w:r>
    </w:p>
    <w:p>
      <w:r>
        <w:rPr>
          <w:b/>
        </w:rPr>
        <w:t>E. 1</w:t>
      </w:r>
    </w:p>
    <w:p>
      <w:r>
        <w:t>Quiconque a des rapports sexuels ou se livre à toute autre activité sexuelle avec un mineur de moins de 15 ans du sexe opposé ou de même sexe, et lorsqu’il existe un écart de maturité flagrant entre l’auteur et sa victime, est passible d’une peine d’emprisonnement d’une durée comprise entre un et huit ans.</w:t>
      </w:r>
    </w:p>
    <w:p>
      <w:r>
        <w:rPr>
          <w:b/>
        </w:rPr>
        <w:t>E. 2</w:t>
      </w:r>
    </w:p>
    <w:p>
      <w:r>
        <w:t>fait obligation aux États membres d’assurer aux victimes un rôle réel et approprié dans le système judiciaire pénal et de veiller à ce qu’un traitement respectueux de leur dignité personnelle leur soit réservé pendant la procédure. L’article</w:t>
      </w:r>
    </w:p>
    <w:p>
      <w:r>
        <w:rPr>
          <w:b/>
        </w:rPr>
        <w:t>E. 3</w:t>
      </w:r>
    </w:p>
    <w:p>
      <w:r>
        <w:t>exige que l’État membre garantisse aux victimes la possibilité d’être entendues au cours de la procédure et de fournir des éléments de preuve, étant entendu cependant qu’il doit prendre les mesures appropriées pour que ses autorités n’interrogent les victimes que dans la mesure nécessaire à la procédure pénale. L’article</w:t>
      </w:r>
    </w:p>
    <w:p>
      <w:r>
        <w:rPr>
          <w:b/>
        </w:rPr>
        <w:t>E. 8</w:t>
      </w:r>
    </w:p>
    <w:p>
      <w:r>
        <w:t>de la Convention.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