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38330/05 vom 27. März 2008</w:t>
      </w:r>
    </w:p>
    <w:p>
      <w:r>
        <w:t>Ecthr Chamber, 2008-03-27, FR</w:t>
      </w:r>
    </w:p>
    <w:p>
      <w:r>
        <w:rPr>
          <w:b/>
        </w:rPr>
        <w:t xml:space="preserve">Quelle: </w:t>
      </w:r>
      <w:r>
        <w:t>https://mcp.opencaselaw.ch/entscheid/ecthr_chamber_38330_05</w:t>
      </w:r>
    </w:p>
    <w:p>
      <w:r>
        <w:t>FR: ECTHR_CHAMBER 38330/05 du 27 mars 2008</w:t>
      </w:r>
    </w:p>
    <w:p>
      <w:r>
        <w:t>IT: ECTHR_CHAMBER 38330/05 del 27 marzo 2008</w:t>
      </w:r>
    </w:p>
    <w:p>
      <w:pPr>
        <w:pStyle w:val="Heading2"/>
      </w:pPr>
      <w:r>
        <w:t>Regeste</w:t>
      </w:r>
    </w:p>
    <w:p>
      <w:r>
        <w:t>Violation de l'article 6 - Droit à un procès équitable; Violation: 6</w:t>
      </w:r>
    </w:p>
    <w:p>
      <w:pPr>
        <w:pStyle w:val="Heading2"/>
      </w:pPr>
      <w:r>
        <w:t>Erwägungen</w:t>
      </w:r>
    </w:p>
    <w:p>
      <w:r>
        <w:rPr>
          <w:b/>
        </w:rPr>
        <w:t>E. 17</w:t>
      </w:r>
    </w:p>
    <w:p>
      <w:r>
        <w:t>Le requérant se plaint de la durée et de l’équité de la procédure devant les juridictions administratives, en invoquant l’article 6 § 1 de la Convention, ainsi libellé : « Toute personne a droit à ce que sa cause soit entendue équitablement (...) dans un délai raisonnable, par un tribunal (...), qui décidera (...) des contestations sur ses droits et obligations de caractère civil (...) » A. Sur le grief tiré de la durée de la procédure 1. Sur la recevabilité</w:t>
      </w:r>
    </w:p>
    <w:p>
      <w:r>
        <w:rPr>
          <w:b/>
        </w:rPr>
        <w:t>E. 18</w:t>
      </w:r>
    </w:p>
    <w:p>
      <w:r>
        <w:t>Le Gouvernement plaide l’irrecevabilité de la requête pour incompatibilité ratione materiae avec l’article 6 § 1 de la Convention. Il soutient que la procédure litigieuse relevait du droit ecclésiastique et ne concernait pas les droits civils du requérant. De plus, le Gouvernement affirme que la peine de destitution infligée au requérant ne constituait pas une « accusation en matière pénale ».</w:t>
      </w:r>
    </w:p>
    <w:p>
      <w:r>
        <w:rPr>
          <w:b/>
        </w:rPr>
        <w:t>E. 19</w:t>
      </w:r>
    </w:p>
    <w:p>
      <w:r>
        <w:t>Le requérant réfute ces thèses en invoquant l’enjeu patrimonial du litige, la destitution litigieuse signifiant la fin de son service en tant que prêtre.</w:t>
      </w:r>
    </w:p>
    <w:p>
      <w:r>
        <w:rPr>
          <w:b/>
        </w:rPr>
        <w:t>E. 20</w:t>
      </w:r>
    </w:p>
    <w:p>
      <w:r>
        <w:t>La Cour rappelle que pour que l’article 6 § 1, sous sa rubrique « civile », trouve à s’appliquer, il faut qu’il y ait « contestation » sur un « droit » que l’on peut prétendre, au moins de manière défendable, reconnu en droit interne. Il doit s’agir d’une contestation réelle et sérieuse. En outre, l’issue de la procédure doit être directement déterminante pour le droit de caractère civil en question.</w:t>
      </w:r>
    </w:p>
    <w:p>
      <w:r>
        <w:rPr>
          <w:b/>
        </w:rPr>
        <w:t>E. 21</w:t>
      </w:r>
    </w:p>
    <w:p>
      <w:r>
        <w:t>La Cour note que, dans la présente affaire, la destitution infligée au requérant doit être assimilée à un licenciement, entraînant des conséquences sur son salaire et sur ses droits de retraite. Aux yeux de la Cour, la contestation devant le Conseil d’Etat portait bel et bien sur un droit civil, s’agissant d’un litige relatif à la fin du service du requérant en tant que prêtre.</w:t>
      </w:r>
    </w:p>
    <w:p>
      <w:r>
        <w:rPr>
          <w:b/>
        </w:rPr>
        <w:t>E. 22</w:t>
      </w:r>
    </w:p>
    <w:p>
      <w:r>
        <w:t>A la lumière de ce qui précède, il s’ensuit que l’exception soulevée par le Gouvernement doit être écartée.</w:t>
      </w:r>
    </w:p>
    <w:p>
      <w:r>
        <w:rPr>
          <w:b/>
        </w:rPr>
        <w:t>E. 23</w:t>
      </w:r>
    </w:p>
    <w:p>
      <w:r>
        <w:t>La Cour constate par ailleurs que ce grief n’est pas manifestement mal fondé au sens de l’article 35 § 3 de la Convention. Elle relève en outre qu’il ne se heurte à aucun autre motif d’irrecevabilité. Il convient donc de le déclarer recevable. 2. Sur le fond a) Période à prendre en considération</w:t>
      </w:r>
    </w:p>
    <w:p>
      <w:r>
        <w:rPr>
          <w:b/>
        </w:rPr>
        <w:t>E. 24</w:t>
      </w:r>
    </w:p>
    <w:p>
      <w:r>
        <w:t>La procédure litigieuse a débuté le 1 er aout 1991, avec la saisine du Conseil d’Etat, et a pris fin le 14 avril 2005, avec l’arrêt n o 1123/2005 du Conseil d’Etat. La période à considérer s’étale donc sur plus de treize ans et huit mois pour un degré de juridiction. b) Caractère raisonnable de la durée de la procédure</w:t>
      </w:r>
    </w:p>
    <w:p>
      <w:r>
        <w:rPr>
          <w:b/>
        </w:rPr>
        <w:t>E. 25</w:t>
      </w:r>
    </w:p>
    <w:p>
      <w:r>
        <w:t>Le Gouvernement argue que la durée de la procédure devant le Conseil d’Etat n’a pas été déraisonnable, vu que le requérant n’a pas cherché à accélérer la procédure.</w:t>
      </w:r>
    </w:p>
    <w:p>
      <w:r>
        <w:rPr>
          <w:b/>
        </w:rPr>
        <w:t>E. 26</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27</w:t>
      </w:r>
    </w:p>
    <w:p>
      <w:r>
        <w:t>La Cour a traité à maintes reprises d’affaires soulevant des questions semblables à celle du cas d’espèce et a constaté la violation de l’article 6 § 1 de la Convention (voir Frydlender précité).</w:t>
      </w:r>
    </w:p>
    <w:p>
      <w:r>
        <w:rPr>
          <w:b/>
        </w:rPr>
        <w:t>E. 28</w:t>
      </w:r>
    </w:p>
    <w:p>
      <w:r>
        <w:t>Après avoir examiné tous les éléments qui lui ont été soumis, la Cour considère que le Gouvernement n’a exposé aucun fait ni argument pouvant mener à une conclusion différente dans le cas présent. La Cour réaffirme notamment qu’il incombe aux Etats contractants d’organiser leur système judiciaire de telle sorte que leurs juridictions puissent garantir à chacun le droit d’obtenir une décision définitive sur les contestations relatives à ses droits et obligations de caractère civil dans un délai raisonnable (voir Comingersoll S.A. c. Portugal [GC], nº 35382/97, § 24, CEDH 2000-IV). Dès lors, compte tenu de sa jurisprudence en la matière, la Cour estime qu’en l’espèce la durée de la procédure litigieuse est excessive et ne répond pas à l’exigence du « délai raisonnable ». Partant, il y a eu violation de l’article 6 § 1. B. Sur le grief tiré de l’équité de la procédure</w:t>
      </w:r>
    </w:p>
    <w:p>
      <w:r>
        <w:rPr>
          <w:b/>
        </w:rPr>
        <w:t>E. 29</w:t>
      </w:r>
    </w:p>
    <w:p>
      <w:r>
        <w:t>Le requérant se plaint du déroulement de la procédure devant la cour ecclésiastique d’appel. En particulier, il se plaint du rejet de sa demande de récusation, de la motivation de la décision et de la façon dont ladite juridiction avait administré les preuves. En plus, il se plaint qu’il n’avait pas été assisté par son avocat. Sur la recevabilité</w:t>
      </w:r>
    </w:p>
    <w:p>
      <w:r>
        <w:rPr>
          <w:b/>
        </w:rPr>
        <w:t>E. 30</w:t>
      </w:r>
    </w:p>
    <w:p>
      <w:r>
        <w:t>La Cour note qu’il ne lui appartient pas de connaître des erreurs de fait ou de droit prétendument commises par une juridiction, sauf si et dans la mesure où elles pourraient avoir porté atteinte aux droits et libertés sauvegardés par la Convention ( García Ruiz c. Espagne [GC], nº 30544/96, § 28, CEDH 1999-I). Or, dans le cas d’espèce, la Cour ne décèle aucun indice d’arbitraire dans le déroulement de la procédure litigieuse. En particulier, il ressort clairement du dossier que le requérant avait renoncé à son droit de comparaître assisté par son avocat devant la cour ecclésiastique d’appel et qu’il avait déposé sa demande de récusation en méconnaissance des règles procédurales, ce que le Conseil d’Etat a d’ailleurs confirmé par son arrêt nº 1123/2005.</w:t>
      </w:r>
    </w:p>
    <w:p>
      <w:r>
        <w:rPr>
          <w:b/>
        </w:rPr>
        <w:t>E. 31</w:t>
      </w:r>
    </w:p>
    <w:p>
      <w:r>
        <w:t>Il s’ensuit que ce grief est manifestement mal fondé et doit être rejeté en application de l’article 35 §§ 3 et 4 de la Convention. II. SUR L’APPLICATION DE L’ARTICLE 41 DE LA CONVENTION</w:t>
      </w:r>
    </w:p>
    <w:p>
      <w:r>
        <w:rPr>
          <w:b/>
        </w:rPr>
        <w:t>E. 32</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33</w:t>
      </w:r>
    </w:p>
    <w:p>
      <w:r>
        <w:t>Le requérant réclame 450 000 euros (EUR) au titre du préjudice matériel pour les salaires et les droits de retraite perdus depuis le 1 er janvier 1991. Il réclame en outre 45 000 EUR au titre du dommage moral qu’il aurait subi.</w:t>
      </w:r>
    </w:p>
    <w:p>
      <w:r>
        <w:rPr>
          <w:b/>
        </w:rPr>
        <w:t>E. 34</w:t>
      </w:r>
    </w:p>
    <w:p>
      <w:r>
        <w:t>Le Gouvernement affirme qu’aucune somme ne doit être allouée au titre du dommage matériel. Quant au dommage moral, le Gouvernement affirme que la somme demandée est excessive et qu’un constat de violation constituerait en soi une satisfaction équitable suffisante.</w:t>
      </w:r>
    </w:p>
    <w:p>
      <w:r>
        <w:rPr>
          <w:b/>
        </w:rPr>
        <w:t>E. 35</w:t>
      </w:r>
    </w:p>
    <w:p>
      <w:r>
        <w:t>La Cour rappelle que le constat de violation de la Convention auquel elle parvient résulte exclusivement d’une méconnaissance du droit du requérant à voir sa cause entendue dans un « délai raisonnable ». Dans ces circonstances, elle n’aperçoit pas de lien de causalité entre le préjudice matériel allégué et la violation constatée. En conséquence, rien ne justifie qu’elle accorde au requérant une indemnité de ce chef.</w:t>
      </w:r>
    </w:p>
    <w:p>
      <w:r>
        <w:rPr>
          <w:b/>
        </w:rPr>
        <w:t>E. 36</w:t>
      </w:r>
    </w:p>
    <w:p>
      <w:r>
        <w:t>La Cour estime en revanche que le prolongement de la procédure litigieuse au-delà du « délai raisonnable » a causé au requérant un tort moral certain, justifiant l’octroi d’une indemnité. Statuant en équité, comme le veut l’article 41, elle lui alloue 20 000 EUR à ce titre, plus tout montant pouvant être dû à titre d’impôt. B. Frais et dépens</w:t>
      </w:r>
    </w:p>
    <w:p>
      <w:r>
        <w:rPr>
          <w:b/>
        </w:rPr>
        <w:t>E. 37</w:t>
      </w:r>
    </w:p>
    <w:p>
      <w:r>
        <w:t>Le requérant demande également 7 000 EUR pour les frais et dépens encourus devant les juridictions internes. Il ne produit aucune facture ou note d’honoraires.</w:t>
      </w:r>
    </w:p>
    <w:p>
      <w:r>
        <w:rPr>
          <w:b/>
        </w:rPr>
        <w:t>E. 38</w:t>
      </w:r>
    </w:p>
    <w:p>
      <w:r>
        <w:t>Le Gouvernement affirme que le requérant n’a pas produit devant la Cour de justificatifs nécessaires portant preuve de ses frais et dépens. En outre, il affirme qu’il n’existe pas de lien de causalité entre les frais et dépens encourus devant les juridictions internes et la violation alléguée et estime qu’il convient d’écarter cette demande.</w:t>
      </w:r>
    </w:p>
    <w:p>
      <w:r>
        <w:rPr>
          <w:b/>
        </w:rPr>
        <w:t>E. 39</w:t>
      </w:r>
    </w:p>
    <w:p>
      <w:r>
        <w:t>La Cour rappelle que l’allocation de frais et dépens au titre de l’article 41 présuppose que se trouvent établis leur réalité, leur nécessité et, de plus, le caractère raisonnable de leur taux ( Iatridis c. Grèce [GC], n o 31107/96, § 54, CEDH 2000-XI).</w:t>
      </w:r>
    </w:p>
    <w:p>
      <w:r>
        <w:rPr>
          <w:b/>
        </w:rPr>
        <w:t>E. 40</w:t>
      </w:r>
    </w:p>
    <w:p>
      <w:r>
        <w:t>En l’occurrence, la Cour observe que les prétentions du requérant ne sont pas accompagnées des justificatifs nécessaires permettant de les calculer de manière précise. Il convient donc d’écarter sa demande. C. Intérêts moratoires</w:t>
      </w:r>
    </w:p>
    <w:p>
      <w:r>
        <w:rPr>
          <w:b/>
        </w:rPr>
        <w:t>E. 41</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