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38110/18 vom 27. Mai 2025</w:t>
      </w:r>
    </w:p>
    <w:p>
      <w:r>
        <w:t>Ecthr Chamber, 2025-05-27, FR</w:t>
      </w:r>
    </w:p>
    <w:p>
      <w:r>
        <w:rPr>
          <w:b/>
        </w:rPr>
        <w:t xml:space="preserve">Quelle: </w:t>
      </w:r>
      <w:r>
        <w:t>https://mcp.opencaselaw.ch/entscheid/ecthr_chamber_38110_18</w:t>
      </w:r>
    </w:p>
    <w:p>
      <w:r>
        <w:t>FR: ECTHR_CHAMBER 38110/18 du 27 mai 2025</w:t>
      </w:r>
    </w:p>
    <w:p>
      <w:r>
        <w:t>IT: ECTHR_CHAMBER 38110/18 del 27 maggio 2025</w:t>
      </w:r>
    </w:p>
    <w:p>
      <w:pPr>
        <w:pStyle w:val="Heading2"/>
      </w:pPr>
      <w:r>
        <w:t>Regeste</w:t>
      </w:r>
    </w:p>
    <w:p>
      <w:r>
        <w:t>Non-violation de l'article 6 - Droit à un procès équitable (Article 6 - Procédure pénale;Article 6-1 - Procès équitable;Article 6-3-d - Interrogation des témoins); No violation: 6;6-1;6-3-d</w:t>
      </w:r>
    </w:p>
    <w:p>
      <w:pPr>
        <w:pStyle w:val="Heading2"/>
      </w:pPr>
      <w:r>
        <w:t>Erwägungen</w:t>
      </w:r>
    </w:p>
    <w:p>
      <w:r>
        <w:rPr>
          <w:b/>
        </w:rPr>
        <w:t>E. 1</w:t>
      </w:r>
    </w:p>
    <w:p>
      <w:r>
        <w:t>et</w:t>
      </w:r>
    </w:p>
    <w:p>
      <w:r>
        <w:rPr>
          <w:b/>
        </w:rPr>
        <w:t>E. 3</w:t>
      </w:r>
    </w:p>
    <w:p>
      <w:r>
        <w:t>Tout accusé a droit notamment à : (...) d) interroger ou faire interroger les témoins à charge et obtenir la convocation et l’interrogation des témoins à décharge dans les mêmes conditions que les témoins à charge ; (...) » Sur la recevabilité 33. Dans la mesure où le requérant se plaint de ne pas avoir pu interroger ou faire interroger ses coprévenus dans la procédure sur opposition devant la cour d’appel, la Cour observe qu’il n’a pas soulevé ce grief en tant que tel devant la Cour de cassation. En effet, dans son mémoire en cassation, le requérant a dénoncé, sous le visa de l’article 149 de la Constitution et de l’exigence de motivation, l’absence de réponse donnée par la cour d’appel à sa demande tendant à faire citer les coprévenus à l’audience, mais – contrairement à ce qu’il a avancé dans sa requête devant la Cour – il n’en a pas déduit de violation du droit d’interroger ou de faire interroger les témoins à charge, au sens de l’article 6 §§ 1 et 3 d) de la Convention (paragraphes 19 et 32 ci ‑ dessus). 34. Quelle que puisse être la lecture donnée au moyen en cassation du requérant, la Cour note en tout état de cause que le Gouvernement n’a pas soulevé d’exception de non-épuisement des voies de recours ( Navalnyy c. Russie [GC], n os 29580/12 et 4 autres, § 62, 15 novembre 2018, et Liblik et autres c. Estonie , n os 173/15 et 5 autres, § 114, 28 mai 2019). 35. Constatant que la requête n’est pas manifestement mal fondée ni irrecevable pour un autre motif visé à l’article 35 de la Convention, la Cour la déclare recevable. Sur le fond Thèses des parties 36 . Le requérant conteste les arguments du Gouvernement (voir paragraphes 38 ‑ 39 ci-dessous). Il expose que le refus de la cour d’appel de procéder à l’audition des coprévenus n’est pas motivé par des circonstances exceptionnelles. Il estime par ailleurs que le fait qu’il ait pu donner sa propre version des faits ne saurait être considéré comme un élément compensateur suffisant pour contrebalancer le désavantage qui, selon lui, a découlé pour lui de l’absence d’audition des témoins. Le requérant indique également que la cour d’appel s’est uniquement fondée sur les déclarations des coprévenus faites en 2006 et qu’aucun élément ultérieur n’a été retenu par elle. De plus, d’après lui, ladite juridiction ne s’est pas penchée avec prudence sur les déclarations en question et, de surcroît, elle n’a jamais eu l’opportunité d’entendre leurs auteurs afin d’apprécier leur fiabilité, notamment à cause du fait, précise-t-il, que la procédure à son encontre s’est déroulée séparément de celle les concernant à la suite de l’opposition qu’il a formée (paragraphe 10 ci-dessus). 37. Quant à la prétendue tardivité de sa demande, le requérant explique que pour des raisons médicales, il n’était pas en mesure d’assister aux audiences devant les juridictions compétentes, pas plus qu’il ne pouvait se faire représenter par son conseil, lui aussi malade (paragraphes 7 et 13 ci ‑ dessus), et qu’ils ont dès lors estimé qu’il était préférable, pour sa défense, de le faire juger par défaut. À cet égard, il souligne que les différentes oppositions qu’il a formées ont été déclarées recevables et admissibles, et soutient que le fait que le défaut lui soit imputable est sans pertinence dans la présente affaire, d’autant plus, argue-t-il, que le droit belge, à l’époque, n’imposait aucune exigence quant à la justification du défaut et ne permettait pas une appréciation judiciaire sur ce point. Ainsi, explique-t-il, c’est à la suite de l’intervention de la Cour de cassation dans la procédure concernant les coprévenus (paragraphes 16 et 22 ci ‑ dessus) qu’il a demandé, à tout le moins, de faire interroger les coaccusés afin de pouvoir mettre en doute leur crédibilité. 38 . Le Gouvernement soutient que la cour d’appel a dûment répondu à la demande du requérant tendant à l’interrogation des coprévenus en indiquant que rien ne permettait de supposer que leurs déclarations initiales n’avaient pas été recueillies correctement ou qu’ils avaient été exposés à des pressions inadmissibles. Il considère par ailleurs que la demande a été faite tardivement, expliquant qu’elle a été soumise après le dépôt des conclusions de synthèse devant la cour d’appel, statuant en opposition, à propos de déclarations qui, souligne-t-il, dataient de 2006. D’après le Gouvernement, rien n’empêchait le requérant de la formuler en temps utile. À cet égard, il relève notamment la possibilité, en vertu de l’article 61 quinquies du CIC, de demander au juge d’instruction l’accomplissement d’un acte complémentaire, et en particulier, l’audition de personnes. 39 . Le Gouvernement ajoute en outre que les déclarations des coprévenus ont pu être contestées par le requérant devant la cour d’appel et que, par ailleurs, elles n’ont pas eu un caractère prépondérant dans l’établissement de la culpabilité du requérant. Sur ce point, il considère que ce n’est pas tant les déclarations, en elles-mêmes qui ont été décisives, mais que c’est l’ensemble de celles-ci, dans la mesure où elles étaient concordantes, qui leur a donné un certain poids. De plus, selon le Gouvernement, les déclarations en question ont été confirmées et réitérées par leurs auteurs tout au long de la procédure, et il est d’avis, par conséquent, que même si les déclarations initiales devaient être écartées, cela n’aurait eu aucun effet sur la procédure. Appréciation de la Cour a) Principes généraux 40. La Cour rappelle que le terme « témoin » a, dans le système de la Convention, un sens « autonome » ( Vidal c. Belgique , 22 avril 1992, § 33, série A n o 235-B). Ainsi, dès lors qu’une déposition, qu’elle soit faite par un témoin stricto sensu ou par un coaccusé, est susceptible de fonder, d’une manière substantielle, la condamnation de l’accusé, elle constitue un témoignage à charge et les garanties prévues par l’article 6 §§ 1 et 3 d) de la Convention lui sont applicables ( Lucà c. Italie , n o 33354/96, § 41, CEDH 2001 ‑ II, et Kaste et Mathisen c. Norvège , n os 18885/04 et 21166/04, § 53, CEDH 2006 ‑ XIII). 41. La Cour a en outre maintes fois souligné que les exigences du paragraphe 3 d) de l’article</w:t>
      </w:r>
    </w:p>
    <w:p>
      <w:r>
        <w:rPr>
          <w:b/>
        </w:rPr>
        <w:t>E. 6</w:t>
      </w:r>
    </w:p>
    <w:p>
      <w:r>
        <w:t>§ 1, la Cour doit essentiellement déterminer si la procédure pénale a globalement revêtu un caractère équitable ( Schatschaschwili c. Allemagne [GC], n o 9154/10, §§ 100 et 101, 15 décembre 2015, et Taxquet c. Belgique [GC], n o 926/05, § 84, 16 novembre 2010, avec les références qui y sont citées). Pour ce faire, elle envisage la procédure dans son ensemble et vérifie le respect non seulement des droits de la défense mais aussi de l’intérêt du public et des victimes, à ce que les auteurs de l’infraction soient dûment poursuivis ( Schatschaschwili , précité, § 101, et Gäfgen c. Allemagne [GC], n o 22978/05, § 175, CEDH 2010) ainsi que, si nécessaire, des droits des témoins (voir, parmi beaucoup d’autres, Al-Khawaja et Tahery c. Royaume-Uni [GC], n os 26766/05 et 22228/06, § 118, CEDH 2011). Elle rappelle également, dans ce contexte, que la recevabilité des preuves relève des règles du droit interne et des juridictions nationales et que sa seule tâche consiste à déterminer si la procédure a été équitable ( Gäfgen , précité, § 162, avec les références qui y sont citées). 42. Dans l’arrêt Schatschaschwili (précité, §§ 111-131), la Grande Chambre a énoncé les principes qui doivent être appliqués dans le cas où des déclarations antérieures de témoins à charge n’ayant pas comparu au procès ont été retenues comme éléments de preuve. b) Application des principes en l’espèce 43. La Cour note d’emblée que la présente affaire a pour particularité que les coaccusés au sens de l’article 6 § 3 de la Convention ayant fait les déclarations incriminantes à charge du requérant ont comparu avec celui-ci en première instance. Après avoir participé à quelques audiences, le requérant a fait défaut, pendant que son conseil a estimé préférable de ne pas le représenter (paragraphe 7 ci-dessus). Le cas de l’espèce qui concerne un défaut, est dès lors différent d’autres affaires dont la Cour a eu à connaître, où les témoins étaient absents dès l’entame de la procédure (paragraphe 7 ci ‑ dessus, comparer avec Schatschaschwili , précité, §§ 134-135). La Cour s’appuiera sur les principes posés par l’arrêt Schatschaschwili précité en ayant égard à ces circonstances particulières. Les motifs sérieux justifiant la non-comparution des témoins 44. En l’espèce, la Cour constate que cinq des coprévenus du requérant (les « témoins ») ont été entendus dans le cadre de l’instruction, et qu’ils ont fait des déclarations incriminantes à l’égard de celui-ci à cette occasion (paragraphe 5 ci-dessus). Elle constate également qu’ils ont confirmé ces déclarations devant le tribunal de première instance lors de la procédure par défaut à l’encontre du requérant (paragraphes 7 ‑</w:t>
      </w:r>
    </w:p>
    <w:p>
      <w:r>
        <w:rPr>
          <w:b/>
        </w:rPr>
        <w:t>E. 8</w:t>
      </w:r>
    </w:p>
    <w:p>
      <w:r>
        <w:t>ci-dessus). Par la suite, ils n’ont comparu à aucun moment au cours du procès dirigé contre le requérant en raison de la disjonction des procédures consécutivement au défaut de celui-ci (paragraphe 10 ci ‑ dessus). 45. La Cour relève que, durant la procédure en opposition devant la cour d’appel, le requérant a demandé de pouvoir interroger les témoins dans ses conclusions additionnelles (paragraphe 16 ci-dessus). En réponse, la cour d’appel, dont le raisonnement a été confirmé par la Cour de cassation, a estimé que rien ne permettait de conclure que les interrogatoires des témoins eussent été menés de manière irrégulière ou que ceux-ci eussent fait l’objet de pressions de la part des enquêteurs. Ensuite, elle a considéré que leurs déclarations étaient crédibles et concordantes sur tous les points essentiels (paragraphe 17 ci-dessus). Ce faisant, la cour d’appel ne s’est pas fondée sur un empêchement des coprévenus pour venir témoigner, et n’a pas davantage invoqué de justifications factuelles ou un motif procédural ou juridique propre à faire obstacle à leur audition (voir, mutatis mutandis , Riahi c. Belgique , n o 65400/10, §§ 35 et 36, 14 juin 2016, et Kuchta c. Pologne , n o 58683/08, §§ 51 ‑ 55, 23 janvier 2018). 46. Rappelant que la non-comparution d’un témoin à un procès peut s’expliquer par diverses raisons ( Al-Khawaja et Tahery , précité, §§ 120 ‑ 125, et Schatschaschwili , précité, § 119) et qu’il ne lui incombe pas de se substituer au juge national pour décider de la nécessité ou de l’opportunité de citer un témoin, la Cour comprend que, aux yeux de la cour d’appel, l’interrogation des coprévenus à l’audience n’était pas indispensable à l’établissement de la vérité. Toutefois, la Cour a déjà considéré que si des juridictions s’appuient sur une déposition et l’utilisent pour fonder une décision de culpabilité, il devrait être présumé que la comparution personnelle et l’examen du témoin dont il s’agit est nécessaire, sauf si sa déposition est manifestement sans pertinence ou redondante ( Panagis c. Grèce , n o 72165/13, § 46, 5 novembre 2020, et Keskin c. Pays-Bas , n o 2205/16, § 61, 19 janvier 2021). 47. La Cour rappelle que l’absence de motifs sérieux justifiant la non‑comparution des témoins à charge ne peut en soi rendre un procès inéquitable, mais constitue un élément de poids pour apprécier l’équité globale d’un procès, et est susceptible de faire pencher la balance en faveur d’un constat de violation de l’article 6 §§ 1 et 3 d) de la Convention ( Schatschaschwili , précité, § 113). L’importance des déclarations des témoins pour la condamnation du requérant 48 . Il n’est pas contesté par le Gouvernement que la cour d’appel a fondé la condamnation du requérant sur les déclarations des témoins absents (paragraphe 39 ci-dessus). S’il est vrai, comme le Gouvernement le soutient, que ladite condamnation s’appuyait sur l’ensemble des déclarations des témoins, multiples et concordantes, il est indéniable, aux yeux de la Cour, que les déclarations en question ont joué un rôle déterminant, voire constituaient la seule preuve que la cour d’appel statuant tant par défaut que sur opposition a retenue pour conclure à la culpabilité du requérant (paragraphes 14 et 17 ci ‑ dessus). 49. Le caractère unique de la preuve pèse lourd dans la balance et appelle des éléments suffisamment compensateurs des difficultés que son admission fait subir à la défense ( Schatschaschwili , précité, § 116, et Al-Khawaja et Tahery , précité, § 161). Les éléments compensateurs pour contrebalancer les difficultés causées à la défense 50 . S’agissant des garanties accordées à la défense et de l’appréciation de l’équité de la procédure litigieuse dans son ensemble, la Cour rappelle tout d’abord que le requérant était appelé à être jugé avec ses coprévenus (paragraphe 7 ci ‑ dessus ; comparer avec Kuchta , précité, §§</w:t>
      </w:r>
    </w:p>
    <w:p>
      <w:r>
        <w:rPr>
          <w:b/>
        </w:rPr>
        <w:t>E. 9</w:t>
      </w:r>
    </w:p>
    <w:p>
      <w:r>
        <w:t>‑ 10). Le fait que le requérant ait été jugé séparément de ceux-ci et qu’il ait ainsi été privé de la possibilité d’être confronté directement à eux découlait de son défaut, lequel ne peut être imputé aux autorités nationales (paragraphe 17 ci ‑ dessus). À cet égard, il ne ressort pas du dossier soumis à la Cour que le conseil du requérant a sollicité devant le tribunal correctionnel le report de l’affaire afin de permettre la comparution du requérant et sa confrontation avec ses coprévenus à l’audience (paragraphe 7 ci-dessus). 51. Ensuite, la Cour relève, à l’instar du Gouvernement, que le requérant, qui était assisté d’un avocat, a sollicité l’audition des coprévenus au stade ultime de la procédure, devant la cour d’appel saisie sur opposition (paragraphe 38 ci-dessus). Le requérant a en effet formé cette demande pour la première fois en octobre 2016, dans les conclusions additionnelles déposées après ses conclusions de synthèse (paragraphe 16 ci-dessus). Le requérant n’indique pas de raisons pour lesquelles il n’aurait pas été en mesure de formuler pareille demande plus tôt dans la procédure, alors que les déclarations dont il se plaignait dataient de 2006. 52 . Sur ce point, la Cour prend note de la position du Gouvernement selon laquelle le requérant aurait pu solliciter l’interrogation desdits témoins dans le cadre d’une demande d’actes d’instruction complémentaire auprès du juge d’instruction, ce que le requérant ne conteste pas (paragraphes 25 et 38 ci ‑ dessus; voir, a contrario , Schatschaschwili , précité, §§ 153 et 160, et Zirnīte c. Lettonie , n o 69019/11, § 50, 11 juin 2020). Elle constate, de plus, qu’il aurait pu également faire la demande en première instance. Par conséquent, si le fait qu’une telle demande ne soit pas intervenue à ces stades de la procédure résulte dans une large mesure de la stratégie adoptée par le requérant, que la Cour ne pourrait critiquer, il n’en reste pas moins que l’absence d’une telle demande n’est pas davantage imputable à l’État défendeur et ne procède pas d’un défaut de garanties procédurales en droit belge quant à l’audition de témoins. 53 . À cet égard, la Cour rappelle qu’il convient d’apprécier l’équité de la procédure pénale dans son ensemble, depuis l’instruction jusqu’à la phase de jugement (voir notamment Schatschaschwili , précité, §§ 100 ‑ 101, et Beuze c. Belgique [GC], n o 71409/10, §§ 120 ‑ 122, 9 novembre 2018). 54. En outre, il ressort du dossier soumis à la Cour que le requérant a eu la possibilité de donner sa propre version des faits et de mettre en doute les accusations portées contre lui dès le début de l’instruction ( Léotard c. France , n o 41298/21, § 112, 14 décembre 2023). Il a pu s’expliquer et contredire librement les déclarations à sa charge tant lors de l’instruction que lors de la phase de jugement. La Cour relève notamment que dans ses conclusions devant la cour d’appel, le requérant a contredit d’une manière précise et détaillée les déclarations qui l’incriminaient (paragraphe 15 ci-dessus – voir également Strassenmeyer c. Allemagne , n o 57818/18, § 86, 2 mai 2023). Elle observe également qu’il n’a pas allégué s’être trouvé dans l’impossibilité de proposer d’autres éléments de preuve pour sa défense. 55. La Cour note que la cour d’appel a examiné, sous le contrôle de la Cour de cassation, la recevabilité et la fiabilité des déclarations des coprévenus (paragraphes 17 et 20 ci ‑ dessus). En effet, dans son arrêt longuement motivé, la cour d’appel s’est assurée que lesdites déclarations étaient crédibles et concordantes les unes avec les autres, et ce dès l’instruction de l’affaire. Elle avait par ailleurs préalablement écarté les dépositions, émanant tant des coprévenus que du requérant, faites sans l’assistance d’un avocat, en violation de l’article 6 §§ 1 et 3 c) de la Convention (paragraphe 17 ci-dessus). Appréciation de l’équité de la procédure dans son ensemble 56. Eu égard à ce qui précède et procédant à une appréciation de l’équité de la procédure dans son ensemble, la Cour estime que, dans les circonstances concrètes de l’espèce, le refus par la cour d’appel de Bruxelles, statuant sur opposition, de faire droit à la demande du requérant d’interroger à l’audience les coprévenus concernés n’a pas nui à l’équité globale de la procédure. 57 . Partant, il n’y a pas eu violation de l’article 6 §§ 1 et § 3 d)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