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38023/02 vom 7. Februar 2008</w:t>
      </w:r>
    </w:p>
    <w:p>
      <w:r>
        <w:t>Ecthr Chamber, 2008-02-07, FR</w:t>
      </w:r>
    </w:p>
    <w:p>
      <w:r>
        <w:rPr>
          <w:b/>
        </w:rPr>
        <w:t xml:space="preserve">Quelle: </w:t>
      </w:r>
      <w:r>
        <w:t>https://mcp.opencaselaw.ch/entscheid/ecthr_chamber_38023_02</w:t>
      </w:r>
    </w:p>
    <w:p>
      <w:r>
        <w:t>FR: ECTHR_CHAMBER 38023/02 du 7 février 2008</w:t>
      </w:r>
    </w:p>
    <w:p>
      <w:r>
        <w:t>IT: ECTHR_CHAMBER 38023/02 del 7 febbraio 2008</w:t>
      </w:r>
    </w:p>
    <w:p>
      <w:pPr>
        <w:pStyle w:val="Heading2"/>
      </w:pPr>
      <w:r>
        <w:t>Regeste</w:t>
      </w:r>
    </w:p>
    <w:p>
      <w:r>
        <w:t>Violation de l'article 1 du Protocole n° 1 - Protection de la propriété; Violation: P1-1</w:t>
      </w:r>
    </w:p>
    <w:p>
      <w:pPr>
        <w:pStyle w:val="Heading2"/>
      </w:pPr>
      <w:r>
        <w:t>Erwägungen</w:t>
      </w:r>
    </w:p>
    <w:p>
      <w:r>
        <w:rPr>
          <w:b/>
        </w:rPr>
        <w:t>E. 1</w:t>
      </w:r>
    </w:p>
    <w:p>
      <w:r>
        <w:t>; 36 979,83 EUR pour l'appartement n o</w:t>
      </w:r>
    </w:p>
    <w:p>
      <w:r>
        <w:rPr>
          <w:b/>
        </w:rPr>
        <w:t>E. 2</w:t>
      </w:r>
    </w:p>
    <w:p>
      <w:r>
        <w:t>; 33 311,19 EUR pour l'appartement n o</w:t>
      </w:r>
    </w:p>
    <w:p>
      <w:r>
        <w:rPr>
          <w:b/>
        </w:rPr>
        <w:t>E. 3</w:t>
      </w:r>
    </w:p>
    <w:p>
      <w:r>
        <w:t>; 36 987,16 EUR pour l'appartement n o</w:t>
      </w:r>
    </w:p>
    <w:p>
      <w:r>
        <w:rPr>
          <w:b/>
        </w:rPr>
        <w:t>E. 4</w:t>
      </w:r>
    </w:p>
    <w:p>
      <w:r>
        <w:t>; 50 971,99 EUR pour l'appartement n o</w:t>
      </w:r>
    </w:p>
    <w:p>
      <w:r>
        <w:rPr>
          <w:b/>
        </w:rPr>
        <w:t>E. 6</w:t>
      </w:r>
    </w:p>
    <w:p>
      <w:r>
        <w:t>et 32 811,17 EUR pour l'appartement n o 7). Il fait observer que les requérants n'ont versé au dossier aucune expertise technique immobilière. Pour ce qui est de la demande de réparation du préjudice moral, le Gouvernement estime que le préjudice allégué serait suffisamment compensé dans le cas d'un constat de violation et qu'en tout état de cause, la somme réclamée est excessive. 31. La Cour rappelle qu'elle a conclu à la violation de l'article 1 du Protocole n o 1 à la Convention en raison de la vente par l'Etat du bien des requérants à des tiers, combinée avec l'absence totale d'indemnisation. 32. La Cour estime, dans les circonstances de l'espèce, que la restitution des appartements n os 1, 2, 3, 4, 6 et 7 de la maison sise au n o</w:t>
      </w:r>
    </w:p>
    <w:p>
      <w:r>
        <w:rPr>
          <w:b/>
        </w:rPr>
        <w:t>E. 10</w:t>
      </w:r>
    </w:p>
    <w:p>
      <w:r>
        <w:t>de la rue Mihai Viteazul, à Brasov, ainsi que du terrain afférent, placerait les requérants autant que possible dans une situation équivalant à celle où ils se trouveraient si les exigences de l'article 1 du Protocole n o 1 n'avaient pas été méconnues. 33. A défaut pour l'Etat défendeur de procéder à pareille restitution, la Cour décide qu'il devra verser aux requérants, pour dommage matériel, une somme correspondant à la valeur actuelle du bien. 34. La Cour observe que le seul rapport d'expertise versé au dossier est celui réalisé sur demande du Gouvernement. Compte tenu des informations dont elle dispose sur les prix du marché immobilier local et des éléments fournis par le Gouvernement, la Cour estime la valeur marchande actuelle du bien à 220 000 EUR. 35. De surcroît, la Cour considère que les événements en cause ont pu provoquer aux requérants un état d'incertitude et des souffrances qui ne peuvent pas être compensés par le constat de violation. Elle estime que la somme de 3 000 EUR représente une réparation équitable du préjudice moral subi par les requérants. B. Frais et dépens 36. Les requérants demandent également 3 000 EUR pour les frais et dépens encourus devant les juridictions internes. Ils n'ont fourni aucun justificatif en ce sens. 37. Le Gouvernement ne s'oppose pas au remboursement des frais, à condition qu'ils soient justifiés, nécessaires et raisonnables. En l'espèce, le Gouvernement rappelle que les requérants n'ont déposé aucun justificatif à ce titre. 38. 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 39. La Cour observe que les prétentions des requérants au titre des frais et dépens ne sont pas accompagnées des justificatifs nécessaires. Il convient donc d'écarter leur demande. C. Intérêts moratoires 40.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