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35916/04 vom 18. September 2008</w:t>
      </w:r>
    </w:p>
    <w:p>
      <w:r>
        <w:t>Ecthr Chamber, 2008-09-18, FR</w:t>
      </w:r>
    </w:p>
    <w:p>
      <w:r>
        <w:rPr>
          <w:b/>
        </w:rPr>
        <w:t xml:space="preserve">Quelle: </w:t>
      </w:r>
      <w:r>
        <w:t>https://mcp.opencaselaw.ch/entscheid/ecthr_chamber_35916_04</w:t>
      </w:r>
    </w:p>
    <w:p>
      <w:r>
        <w:t>FR: ECTHR_CHAMBER 35916/04 du 18 septembre 2008</w:t>
      </w:r>
    </w:p>
    <w:p>
      <w:r>
        <w:t>IT: ECTHR_CHAMBER 35916/04 del 18 settembre 2008</w:t>
      </w:r>
    </w:p>
    <w:p>
      <w:pPr>
        <w:pStyle w:val="Heading2"/>
      </w:pPr>
      <w:r>
        <w:t>Regeste</w:t>
      </w:r>
    </w:p>
    <w:p>
      <w:r>
        <w:t>Partiellement irrecevable;Violation de l'art. 10;Préjudice moral - réparation; Violation: 10</w:t>
      </w:r>
    </w:p>
    <w:p>
      <w:pPr>
        <w:pStyle w:val="Heading2"/>
      </w:pPr>
      <w:r>
        <w:t>Erwägungen</w:t>
      </w:r>
    </w:p>
    <w:p>
      <w:r>
        <w:rPr>
          <w:b/>
        </w:rPr>
        <w:t>E. 1</w:t>
      </w:r>
    </w:p>
    <w:p>
      <w:r>
        <w:t>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2</w:t>
      </w:r>
    </w:p>
    <w:p>
      <w:r>
        <w:t>Le présent article ne portera pas atteinte au jugement et à la punition d’une personne coupable d’une action ou d’une omission qui, au moment où elle a été commise, était criminelle d’après les principes généraux de droit reconnus par les nations civilisées. » 49. La Cour relève que les griefs tirés de la violation alléguée de l’article</w:t>
      </w:r>
    </w:p>
    <w:p>
      <w:r>
        <w:rPr>
          <w:b/>
        </w:rPr>
        <w:t>E. 7</w:t>
      </w:r>
    </w:p>
    <w:p>
      <w:r>
        <w:t>se confondent en l’espèce avec ceux tirés de la violation alléguée de l’article 6 § 1, puisqu’ils tendent à remettre en cause l’interprétation du droit national relatif à la prescription de l’action civile en matière de délits de presse. Partant, la cour examinera l’ensemble des griefs soulevés sous l’angle de l’article 6 § 1 uniquement. Ceci exposé, elle rappelle d’emblée qu’elle n’a pas pour tâche de se substituer aux juridictions internes. C’est au premier chef aux autorités nationales, et notamment aux cours et tribunaux, qu’il incombe d’interpréter la législation interne (voir, parmi beaucoup d’autres, les arrêts Brualla Gómez de la Torre c. Espagne du 19 décembre 1997, § 31, et Edificaciones March Gallego S.A. c. Espagne du 19 février 1998, § 33). Le rôle de la Cour se limite à vérifier la compatibilité avec la Convention des effets de pareille interprétation. Ceci est particulièrement vrai s’agissant de l’interprétation par les tribunaux des règles de nature procédurale telles que les délais régissant le dépôt des documents ou l’introduction de recours (voir, mutatis mutandis, l’arrêt Tejedor García c. Espagne du 16 décembre 1997, § 31). 50. En l’espèce, la Cour constate qu’il était demandé au juge national d’interpréter le droit interne, à savoir si la citation délivrée aux prévenus par le procureur général était interruptive de prescription à l’égard de toutes les parties. Sur cette question, la Cour relève que les juridictions nationales se sont prononcées, de manière motivée, à l’issue d’une procédure contradictoire au cours de laquelle le requérant a eu amplement la possibilité de soulever les exceptions d’irrecevabilité qu’il souhaitait, et de défendre sa cause, au fond. Elle considère, dans ces conditions, que le requérant a bénéficié de toute les garanties d’un procès équitable, au sens de l’article 6 § 1. 51. Il s’ensuit que cette partie de la requête doit être rejetée comme étant manifestement mal fondée, conformément à l’article 35 §§ 3 et 4 de la Convention. III.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 requérant réclame 20 000 euros (EUR) « à titre des dommages-intérêts », sans plus de précision. 54. Le Gouvernement considère ces prétentions infondées et estime que si la Cour devait aboutir à un constat de violation, ce constat constituerait une satisfaction équitable suffisante. 55. La Cour est convaincue de l’existence d’un lieu de causalité entre la violation constatée sur le terrain de l’article 10 de la Convention et les dommages matériel et moral subi par le requérant en raison de sa condamnation. Concernant le dommage matériel, la Cour note cependant que si le requérant a été condamné au paiement de diverses sommes solidairement avec le directeur de publication du magazine Lyon Mag’ , la société Lyon Mag’ propriétaire de la revue du même nom a été déclarée civilement responsable des condamnations pécuniaires prononcées au profit de Kamel Kabtane, de sorte que le requérant ne saurait valablement soutenir avoir payé sur ces deniers personnels la partie des dommages-intérêts alloués. Partant, aucune somme d’argent ne saurait lui être octroyée à ce titre. La Cour considère, en revanche, que le requérant a subi, du fait de la violation de l’article 10, un certain dommage moral. Statuant en équité, elle lui octroie la somme de 1 500 EUR à titre de réparation. B. Frais et dépens 56. Le requérant demande également 7 684,80 EUR pour les frais et dépens encourus devant la juridiction de première instance et la cour d’appel (soit 4 784 EUR) ainsi que devant la Cour de cassation (soit 2 750.80 EUR). Il ne formule aucune demande en ce qui concerne les frais encourus devant la Cour. 57. Le Gouvernement s’oppose au remboursement de ces frais et dépens en faisant valoir, d’une part, que le requérant produit à l’appui de ses demandes des factures d’avocat établies au nom de la société Lyon Mag’ et de son directeur de publication et, d’autre part, que lesdites factures sont celles qui ont été produites par ceux-ci dans le cadre de la requête n o 36551/04 qui a fait l’objet d’un règlement amiable. 58. Selon la jurisprudence de la Cour, un requérant ne peut obtenir le remboursement de ses frais et dépens que dans la mesure où se trouvent établis leur réalité, leur nécessité et le caractère raisonnable de leur taux. 59. La Cour constate que le requérant produit deux factures. La première, relative au soutien du pourvoi devant la Cour de cassation, est un état des frais et honoraires d’un montant de 2 750,80 EUR, daté du 28 mai 2003. Il y est indiqué que cette somme est dû par le directeur de publication du magazine Lyon Mag’ , et qu’elle a été payée le 18 juillet 2003 ; une mention manuscrite fait apparaître le nom du requérant à côté de celui du directeur de publication. La Cour estime que, dans ces conditions, la réalité du paiement ne se trouve pas établie, le requérant ne rapportant pas la preuve qu’il a payé en tout ou en partie la somme précitée. La deuxième facture, d’un montant de 150 EUR et datée du 16 mai 2003, est émise par une société d’avoués et adressée uniquement à la société Lyon Mag’. Le requérant ne démontrant pas, là encore, avoir supporté personnellement une partie des frais relatifs à ce dernier montant, aucune somme ne saurait lui être allouée. C. Intérêts moratoires 60.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