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33704/04 vom 11. Februar 2010</w:t>
      </w:r>
    </w:p>
    <w:p>
      <w:r>
        <w:t>Ecthr Chamber, 2010-02-11, FR</w:t>
      </w:r>
    </w:p>
    <w:p>
      <w:r>
        <w:rPr>
          <w:b/>
        </w:rPr>
        <w:t xml:space="preserve">Quelle: </w:t>
      </w:r>
      <w:r>
        <w:t>https://mcp.opencaselaw.ch/entscheid/ecthr_chamber_33704_04</w:t>
      </w:r>
    </w:p>
    <w:p>
      <w:r>
        <w:t>FR: ECTHR_CHAMBER 33704/04 du 11 février 2010</w:t>
      </w:r>
    </w:p>
    <w:p>
      <w:r>
        <w:t>IT: ECTHR_CHAMBER 33704/04 del 11 febbraio 2010</w:t>
      </w:r>
    </w:p>
    <w:p>
      <w:pPr>
        <w:pStyle w:val="Heading2"/>
      </w:pPr>
      <w:r>
        <w:t>Regeste</w:t>
      </w:r>
    </w:p>
    <w:p>
      <w:r>
        <w:t>Non-violation de P1-1</w:t>
      </w:r>
    </w:p>
    <w:p>
      <w:pPr>
        <w:pStyle w:val="Heading2"/>
      </w:pPr>
      <w:r>
        <w:t>Erwägungen</w:t>
      </w:r>
    </w:p>
    <w:p>
      <w:r>
        <w:rPr>
          <w:b/>
        </w:rPr>
        <w:t>E. 2</w:t>
      </w:r>
    </w:p>
    <w:p>
      <w:r>
        <w:t>Appréciation de la Cour 51. La Cour constate que l’essence de ce grief se confond largement avec le précédent. Eu égard aux circonstances particulières de la présente affaire, ainsi qu’au raisonnement qui l’a conduite à constater une non-violation de l’article 1 du Protocole n o 1, en particulier en ce qui concerne la légitimité et la proportionnalité de la mesure en cause, la Cour n’estime pas nécessaire d’examiner séparément le grief des requérants sous l’angle de l’article 6 § 1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