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33279/05 vom 13. September 2011</w:t>
      </w:r>
    </w:p>
    <w:p>
      <w:r>
        <w:t>Ecthr Chamber, 2011-09-13, FR</w:t>
      </w:r>
    </w:p>
    <w:p>
      <w:r>
        <w:rPr>
          <w:b/>
        </w:rPr>
        <w:t xml:space="preserve">Quelle: </w:t>
      </w:r>
      <w:r>
        <w:t>https://mcp.opencaselaw.ch/entscheid/ecthr_chamber_33279_05</w:t>
      </w:r>
    </w:p>
    <w:p>
      <w:r>
        <w:t>FR: ECTHR_CHAMBER 33279/05 du 13 septembre 2011</w:t>
      </w:r>
    </w:p>
    <w:p>
      <w:r>
        <w:t>IT: ECTHR_CHAMBER 33279/05 del 13 settembre 2011</w:t>
      </w:r>
    </w:p>
    <w:p>
      <w:pPr>
        <w:pStyle w:val="Heading2"/>
      </w:pPr>
      <w:r>
        <w:t>Regeste</w:t>
      </w:r>
    </w:p>
    <w:p>
      <w:r>
        <w:t>Violation de P1-1;Satisfaction équitable réservée</w:t>
      </w:r>
    </w:p>
    <w:p>
      <w:pPr>
        <w:pStyle w:val="Heading2"/>
      </w:pPr>
      <w:r>
        <w:t>Erwägungen</w:t>
      </w:r>
    </w:p>
    <w:p>
      <w:r>
        <w:rPr>
          <w:b/>
        </w:rPr>
        <w:t>E. 1</w:t>
      </w:r>
    </w:p>
    <w:p>
      <w:r>
        <w:t>La Cour rejette donc cette exception du Gouvernement. 18. Quant à l’exception tirée du non-épuisement des voies de recours internes, la Cour rappelle qu’elle a déjà examiné et rejeté les arguments semblables du Gouvernement dans les arrêts Temel Conta Sanayi Ve Ticaret A.Ş. c. Turquie (n o 45651/04, §§ 29-33, 10 mars 2009) ; Doğrusöz et Aslan c. Turquie (n o 1262/02, §§ 22-23, 30 mai 2006) ; Mehmet Ali Miçooğulları c. Turquie (n o 75606/01, § 17, 10 mai 2007) ; Ardıçoğlu c. Turquie (n o 23249/04, §§ 29-30, 2 décembre 2008) ; Berber c. Turquie (n o 20606/04, § 17, 13 janvier 2009), et Adem Yılmaz Doğan et autres c. Turquie , (n o 25700/05, §§ 22-23, 15 juin 2010). Rien ne permettant en l’espèce de s’écarter de la conclusion à laquelle elle est parvenue dans ces arrêts, elle rejette également cette exception du Gouvernement. 19. La Cour constate en outre que ce grief n’est pas manifestement mal fondé et qu’il ne se heurte à aucun autre motif d’irrecevabilité inscrit à l’article 35 §</w:t>
      </w:r>
    </w:p>
    <w:p>
      <w:r>
        <w:rPr>
          <w:b/>
        </w:rPr>
        <w:t>E. 3</w:t>
      </w:r>
    </w:p>
    <w:p>
      <w:r>
        <w:t>de la Convention. Il convient donc de le déclarer recevable. 20. Sur le fond, la Cour rappelle avoir déjà examiné des griefs identiques à celui présenté par le requérant et avoir conclu à la violation de l’article 1 du Protocole n o 1 à raison de l’absence d’indemnisation pour le transfert de propriété du bien du requérant au Trésor public ( Turgut et autres c. Turquie , précité, §§ 86-93 ; Temel Conta Sanayi Ve Ticaret A.Ş. , précité, §§ 40 ‑ 45 ; Rimer et autres c. Turquie , n o 18257/04, §§ 34-41, 10 mars 2009, et Nural Vural c. Turquie , n o 16009/04, §§ 29-34, 10 mars 2009). Ayant examiné la présente affaire, elle considère que le Gouvernement n’a fourni aucun fait ni argument convaincant pouvant mener à une conclusion différente en l’espèce. 21. Partant, il y a eu violation de l’article 1 du Protocole n o 1. II. SUR LES AUTRES VIOLATIONS ALLÉGUÉES 22. Le requérant se plaint également d’un manque d’indépendance et d’impartialité des tribunaux internes au motif que le pouvoir judiciaire serait lié, d’une manière ou d’une autre, au pouvoir exécutif. Il dénonce aussi un manque d’impartialité de l’expert ayant établi le rapport d’expertise sur lequel le tribunal de première instance s’est fondé pour statuer. Par ailleurs, il précise que l’examen de son recours en rectification d’arrêt a été effectué par la même chambre de la Cour de cassation, composée des mêmes magistrats, que celle qui s’était prononcée le 26 octobre 2004 sur son pourvoi en cassation. Il allègue enfin que les arrêts de la Cour de cassation relatifs à son pourvoi et à son recours en rectification d’arrêt n’étaient pas motivés. Il invoque sur ces points l’article 6 de la Convention. La Cour observe que le requérant a formulé les griefs tirés du manque d’indépendance et d’impartialité des tribunaux et de l’expert de manière très générale et qu’il ne les a pas suffisamment étayés. S’agissant de la question de l’examen du recours en rectification par les mêmes juges que ceux ayant rendu l’arrêt en cassation, la Cour rappelle avoir déjà eu l’occasion de se prononcer sur un grief similaire, qu’elle a rejeté pour défaut manifeste de fondement ( Arslan c. Turquie (déc.), n o 39080/97, 21 septembre 1999, et Yıldırım c. Turquie (déc.), n o 4300/05, 6 janvier 2009). S’agissant du grief relatif à l’absence de motivation des arrêts de la Cour de cassation écartant le pourvoi et le recours en rectification du requérant, la Cour rappelle que l’absence d’une motivation détaillée dans les décisions de la juridiction supérieure ne constitue pas une violation de l’article 6 dès lors que la décision de première instance est suffisamment motivée (voir, par exemple, Kabasakal et Atar c. Turquie (déc.), n os 70084/01 et 70085/01, 1 er juillet 2003, et Doğaner c. Turquie (déc.), n o 49285/99, 19 juin 2003). Elle constate que tel est le cas en l’espèce. La Cour estime que l’examen des griefs soulevés ne permet de déceler aucune apparence de violation du droit à un procès équitable garanti par l’article 6 § 1 de la Convention. Cette partie de la requête est donc manifestement mal fondée et doit être rejetée, en application de l’article 35 §§ 3 a) et 4 de la Convention. III. SUR L’APPLICATION DE L’ARTICLE 41 DE LA CONVENTION 23. Pour le préjudice matériel, le requérant réclame 232 642 livres turques (TRL), somme qui correspond, selon lui, à environ 116 321 euros (EUR). A l’appui de ses prétentions, il verse au dossier un rapport d’expertise du 10 juillet 2010 établi par un ingénieur en construction. Dans le rapport, plusieurs éléments ont été pris en considération aux fins d’évaluation, notamment la localisation du terrain, son accessibilité et les possibilités de construction. La somme demandée correspond à la valeur du terrain (170 760 TRL, soit 85 380 EUR), d’une construction (49 302 TRL, soit 24 651 EUR), d’arbres (9 850 TRL, soit 4 925 EUR) et d’un mur (2 730 TRL, soit 1 365 EUR). Le requérant demande également 6 950 EUR pour les frais et dépens engagés devant la Cour. A ce titre, il fournit un décompte établi par son avocat présentant un nombre d’heures de travail et des frais (traduction, honoraires d’avocat et frais d’expertise). 24. Le Gouvernement conteste ces prétentions et invite la Cour à les rejeter. 25. Compte tenu des circonstances de la cause, la Cour estime que la question de l’application de l’article 41 ne se trouve pas en état, de sorte qu’il convient de la réserver en tenant compte de l’éventualité d’un accord entre l’Etat défendeur et le requérant (dans le même sens, voir Turgut et autres , précité, § 101 ; Temel Conta Sanayi Ve Ticaret A.Ş. , précité, § 51 ; Nural Vural , précité, § 38, et Rimer et autres , précité, § 46). A défaut, selon la Cour, une action en constatation ( değer tespiti davası ) introduite par les parties auprès d’un tribunal de grande instance constituerait, parmi d’autres, un moyen approprié de déterminer la valeur des biens litigieux.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