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32155/04 vom 21. Juni 2007</w:t>
      </w:r>
    </w:p>
    <w:p>
      <w:r>
        <w:t>Ecthr Chamber, 2007-06-21, FR</w:t>
      </w:r>
    </w:p>
    <w:p>
      <w:r>
        <w:rPr>
          <w:b/>
        </w:rPr>
        <w:t xml:space="preserve">Quelle: </w:t>
      </w:r>
      <w:r>
        <w:t>https://mcp.opencaselaw.ch/entscheid/ecthr_chamber_32155_04</w:t>
      </w:r>
    </w:p>
    <w:p>
      <w:r>
        <w:t>FR: ECTHR_CHAMBER 32155/04 du 21 juin 2007</w:t>
      </w:r>
    </w:p>
    <w:p>
      <w:r>
        <w:t>IT: ECTHR_CHAMBER 32155/04 del 21 giugno 2007</w:t>
      </w:r>
    </w:p>
    <w:p>
      <w:pPr>
        <w:pStyle w:val="Heading2"/>
      </w:pPr>
      <w:r>
        <w:t>Regeste</w:t>
      </w:r>
    </w:p>
    <w:p>
      <w:r>
        <w:t>Violation de l'art. 6-1; Violation: 6;6-1</w:t>
      </w:r>
    </w:p>
    <w:p>
      <w:pPr>
        <w:pStyle w:val="Heading2"/>
      </w:pPr>
      <w:r>
        <w:t>Erwägungen</w:t>
      </w:r>
    </w:p>
    <w:p>
      <w:r>
        <w:rPr>
          <w:b/>
        </w:rPr>
        <w:t>E. 16</w:t>
      </w:r>
    </w:p>
    <w:p>
      <w:r>
        <w:t>Les requérants allèguent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 A. Période à prendre en considération</w:t>
      </w:r>
    </w:p>
    <w:p>
      <w:r>
        <w:rPr>
          <w:b/>
        </w:rPr>
        <w:t>E. 17</w:t>
      </w:r>
    </w:p>
    <w:p>
      <w:r>
        <w:t>La procédure litigieuse débuta le 6 octobre 1992, avec la saisine du tribunal de grande instance de Chalkida et prit fin le 17 mars 2004, avec les arrêts n os 325/2004 et 320/2004 de la Cour de cassation. Elle a donc duré plus de onze ans et cinq mois pour trois instances. B. Caractère raisonnable de la durée de la procédure</w:t>
      </w:r>
    </w:p>
    <w:p>
      <w:r>
        <w:rPr>
          <w:b/>
        </w:rPr>
        <w:t>E. 18</w:t>
      </w:r>
    </w:p>
    <w:p>
      <w:r>
        <w:t>Le Gouvernement affirme qu'il s'agissait d'une affaire particulièrement complexe et que la chronologie de la procédure atteste de l'absence de diligence des intéressés qui n'ont pas cherché à accélérer la procédure et qui ont consenti à tous les ajournements devant le tribunal de grande instance.</w:t>
      </w:r>
    </w:p>
    <w:p>
      <w:r>
        <w:rPr>
          <w:b/>
        </w:rPr>
        <w:t>E. 19</w:t>
      </w:r>
    </w:p>
    <w:p>
      <w:r>
        <w:t>Les requérants estiment que leur affaire connut une durée excessive et que l'Etat est exclusivement responsable des ajournements et des retards que connut leur affaire.</w:t>
      </w:r>
    </w:p>
    <w:p>
      <w:r>
        <w:rPr>
          <w:b/>
        </w:rPr>
        <w:t>E. 20</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21</w:t>
      </w:r>
    </w:p>
    <w:p>
      <w:r>
        <w:t>La Cour a traité à maintes reprises d'affaires soulevant des questions semblables à celle du cas d'espèce et a constaté la violation de l'article 6 § 1 de la Convention (voir Frydlender précité).</w:t>
      </w:r>
    </w:p>
    <w:p>
      <w:r>
        <w:rPr>
          <w:b/>
        </w:rPr>
        <w:t>E. 22</w:t>
      </w:r>
    </w:p>
    <w:p>
      <w:r>
        <w:t>Après avoir examiné tous les éléments qui lui ont été soumis, la Cour considère que le Gouvernement n'a exposé aucun fait ni argument pouvant mener à une conclusion différente dans le cas présent. S'il est vrai que le dossier présentait une certaine complexité et que les parties sont responsables de quelques retards dans la conduite de l'instance, la Cour estime toutefois que ces éléments ne suffisent pas pour dégager les autorités judiciaires de leur responsabilité pour la durée globale que connut la procédure. Compte tenu de sa jurisprudence en la matière, la Cour estime qu'en l'espèce la durée de la procédure litigieuse est excessive et ne répond pas à l'exigence du « délai raisonnable ». Partant, il y a eu violation de l'article 6 § 1. II. SUR L'APPLICATION DE L'ARTICLE 41 DE LA CONVENTION</w:t>
      </w:r>
    </w:p>
    <w:p>
      <w:r>
        <w:rPr>
          <w:b/>
        </w:rPr>
        <w:t>E. 23</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24</w:t>
      </w:r>
    </w:p>
    <w:p>
      <w:r>
        <w:t>Au titre du dommage matériel, les requérants réclament 75 000 euros (EUR) chacun « pour chaque année de prolongation excessive du déroulement de la procédure ». Ils réclament en outre 30 000 EUR chacun au titre du dommage moral.</w:t>
      </w:r>
    </w:p>
    <w:p>
      <w:r>
        <w:rPr>
          <w:b/>
        </w:rPr>
        <w:t>E. 25</w:t>
      </w:r>
    </w:p>
    <w:p>
      <w:r>
        <w:t>Le Gouvernement invite la Cour à écarter la demande présentée au titre du dommage matériel et affirme qu'un constat de violation constituerait en soi une satisfaction équitable suffisante au titre du dommage moral.</w:t>
      </w:r>
    </w:p>
    <w:p>
      <w:r>
        <w:rPr>
          <w:b/>
        </w:rPr>
        <w:t>E. 26</w:t>
      </w:r>
    </w:p>
    <w:p>
      <w:r>
        <w:t>La Cour rappelle que le constat de violation de la Convention auquel elle est parvenue résulte exclusivement d'une méconnaissance du droit des intéressés à voir leur cause entendue dans un « délai raisonnable ». Dans ces conditions, elle n'aperçoit pas de lien de causalité entre la violation constatée et un quelconque dommage matériel dont les requérants auraient eu à souffrir ; il y a donc lieu de rejeter cet aspect de leurs prétentions. En revanche, la Cour estime que les requérants ont subi un tort moral certain. Statuant en équité, elle accorde à chaque requérant 10 000 EUR à ce titre, plus tout montant pouvant être dû à titre d'impôt. B. Frais et dépens</w:t>
      </w:r>
    </w:p>
    <w:p>
      <w:r>
        <w:rPr>
          <w:b/>
        </w:rPr>
        <w:t>E. 27</w:t>
      </w:r>
    </w:p>
    <w:p>
      <w:r>
        <w:t>Les requérants réclament en outre 5 000 EUR pour les frais et dépens encourus devant la Cour. A cet égard, ils produisent une facture de 4 000 EUR établie au nom de leur avocat.</w:t>
      </w:r>
    </w:p>
    <w:p>
      <w:r>
        <w:rPr>
          <w:b/>
        </w:rPr>
        <w:t>E. 28</w:t>
      </w:r>
    </w:p>
    <w:p>
      <w:r>
        <w:t>Le Gouvernement affirme que cette demande est excessive, étant donné que la Cour a rejeté une grande partie des griefs des requérants.</w:t>
      </w:r>
    </w:p>
    <w:p>
      <w:r>
        <w:rPr>
          <w:b/>
        </w:rPr>
        <w:t>E. 29</w:t>
      </w:r>
    </w:p>
    <w:p>
      <w:r>
        <w:t>La Cour rappelle que l'allocation de frais et dépens au titre de l'article 41 présuppose que se trouvent établis leur réalité, leur nécessité et, de plus, le caractère raisonnable de leur taux ( Iatridis c. Grèce [GC], n o 31107/96, § 54, CEDH 2000-XI).</w:t>
      </w:r>
    </w:p>
    <w:p>
      <w:r>
        <w:rPr>
          <w:b/>
        </w:rPr>
        <w:t>E. 30</w:t>
      </w:r>
    </w:p>
    <w:p>
      <w:r>
        <w:t>En l'espèce, compte tenu des éléments en sa possession et des critères susmentionnés, la Cour juge raisonnable d'allouer conjointement aux requérants 4 000 EUR pour frais et dépens, plus tout montant pouvant être dû à titre d'impôt. C. Intérêts moratoires</w:t>
      </w:r>
    </w:p>
    <w:p>
      <w:r>
        <w:rPr>
          <w:b/>
        </w:rPr>
        <w:t>E. 31</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