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29462/95 vom 28. November 2000</w:t>
      </w:r>
    </w:p>
    <w:p>
      <w:r>
        <w:t>Ecthr Chamber, 2000-11-28, FR</w:t>
      </w:r>
    </w:p>
    <w:p>
      <w:r>
        <w:rPr>
          <w:b/>
        </w:rPr>
        <w:t xml:space="preserve">Quelle: </w:t>
      </w:r>
      <w:r>
        <w:t>https://mcp.opencaselaw.ch/entscheid/ecthr_chamber_29462_95</w:t>
      </w:r>
    </w:p>
    <w:p>
      <w:r>
        <w:t>FR: ECTHR_CHAMBER 29462/95 du 28 novembre 2000</w:t>
      </w:r>
    </w:p>
    <w:p>
      <w:r>
        <w:t>IT: ECTHR_CHAMBER 29462/95 del 28 novembre 2000</w:t>
      </w:r>
    </w:p>
    <w:p>
      <w:pPr>
        <w:pStyle w:val="Heading2"/>
      </w:pPr>
      <w:r>
        <w:t>Regeste</w:t>
      </w:r>
    </w:p>
    <w:p>
      <w:r>
        <w:t>Exception préliminaire rejetée (non-épuisement);Violation de l'art. 3 en raison du traitement subi au moment de l'arrestation;Non-violation de l'art. 3 en raison du traitement subi au cours du détention;Violation de l'art. 5-4;Violation de l'art. 5-5;Violation de l'art. 8;Dommage matériel - demande rejetée;Préjudice moral - réparation pécuniaire;Remboursement partiel frais et dépens; Violation: 3;5;5-4;5-5;8; No violation: 3</w:t>
      </w:r>
    </w:p>
    <w:p>
      <w:pPr>
        <w:pStyle w:val="Heading2"/>
      </w:pPr>
      <w:r>
        <w:t>Erwägungen</w:t>
      </w:r>
    </w:p>
    <w:p>
      <w:r>
        <w:rPr>
          <w:b/>
        </w:rPr>
        <w:t>E. 1</w:t>
      </w:r>
    </w:p>
    <w:p>
      <w:r>
        <w:t>L'allégation de mauvais traitements infligés au requérant durant son arrestation 68. La Cour relève que les parties ne contestent pas que la blessure du requérant dont les médecins ont fait état ait été causée durant l'arrestation. Toutefois, le requérant et le Gouvernement ont donné des versions divergentes de la manière dont cette blessure s'est produite (paragraphes 12 à 15 ci-dessus). 69. Conformément à la jurisprudence constante de la Cour, l'établissement et la vérification des faits dans les affaires initialement examinées par la Commission incombent en premier lieu à celle-ci. Si la Cour n'est pas liée par les constatations du rapport et demeure libre d'apprécier les faits elle-même à la lumière de tous les éléments qu'elle possède, elle n'use de ses propres pouvoirs en la matière que dans des circonstances exceptionnelles (arrêt Kaya c. Turquie du 19 février 1998, Recueil 1998-I, p. 321, § 75). 70. La Commission n'a pas réussi à reconstituer totalement les circonstances dans lesquelles le requérant a été blessé. Dans son rapport final, elle a observé que le Gouvernement, alors qu'il en avait été prié à plusieurs reprises, n'avait aucunement prouvé son affirmation selon laquelle la blessure du requérant lui avait été causée de manière accidentelle. En constatant la violation de l'article 3, la Commission s'était essentiellement fondée, en se référant à l'affaire Ribitsch c. Autriche (arrêt du 4 décembre 1995, série A n o 336, p. 26, § 38), sur le fait que le Gouvernement n'avait pas fourni d'explication plausible quant à la manière dont la blessure avait été causée et n'avait pas indiqué d'éléments pertinents laissant apparaître des faits qui mettraient en doute le récit du requérant. 71. La Cour relève que les mauvais traitements allégués qui ont entraîné une blessure se sont produits lors de l'arrestation du requérant et non pas après qu'il eut été placé en détention. Il convient donc de distinguer cette affaire de l'affaire Ribitsch, dans laquelle les blessures du requérant avaient été causées au cours de sa détention. Par ailleurs, il faut également la distinguer de l'affaire Klaas c. Allemagne (arrêt du 22 septembre 1993, série A n o 269, pp. 16-18, §§ 26-30), qui portait sur des lésions moins graves provoquées au cours d'une opération d'arrestation, mais où les tribunaux nationaux avaient établi les faits après avoir eu la possibilité d'entendre des témoins directs et d'en apprécier la crédibilité. 72. En l'occurrence, le requérant n'a pas été arrêté au cours d'une opération menée au hasard qui aurait pu donner lieu à des développements inattendus auxquels la police aurait pu être appelée à réagir sans y être préparée. Les documents dont dispose la Cour indiquent que la police avait programmé l'opération d'arrestation et qu'elle avait eu suffisamment de temps pour évaluer les risques éventuels et prendre toutes les mesures nécessaires pour procéder à cette arrestation. Pas moins de treize policiers participèrent à l'opération ; manifestement, ils surpassaient en nombre les trois suspects à arrêter. De plus, le requérant n'a pas constitué une menace pour les policiers qui l'arrêtaient, par exemple en portant ouvertement une arme ou en les attaquant. Dans ces circonstances, vu le caractère particulièrement sévère de la blessure du requérant et considérant qu'aucun tribunal national n'a statué sur les faits litigieux, c'est au Gouvernement qu'il revient de démontrer à l'aide d'arguments convaincants que le recours à la force n'a pas été excessif. 73. Le 23 mai 2000, à la suite de l'audience sur le fond de l'affaire, le Gouvernement a présenté à la Cour un rapport daté du 8 mars 1996 sur la conduite de la police durant l'arrestation du requérant. Ledit rapport n'avait pas été fourni à la Commission lorsqu'elle avait examiné l'affaire. Ce document concluait que les enquêteurs concernés avaient agi dans le respect de la loi et que le recours à la force avait été rendu nécessaire par la résistance du requérant à son arrestation (paragraphe 14 ci-dessus). 74. La Cour observe que l'ordre de procéder à une enquête a été donné cinq mois après l'incident, survenu le 8 septembre 1995. L'enquête a été effectuée au sein de l'administration de la police de Slovenj Gradec, dont les membres avaient participé à l'arrestation du requérant. Le rapport ne précise pas sur quelles informations et quelles preuves il se fonde. Plus spécialement, il n'en ressort pas que ses auteurs ont entendu le requérant, les autres personnes arrêtées en même temps que lui ou d'autres témoins que les policiers impliqués. En outre, le Gouvernement n'a pas expliqué pourquoi le rapport n'avait été produit qu'à un stade avancé de la procédure. 75. Dans l'instance devant la Commission, le Gouvernement a affirmé que le requérant avait été blessé au moment où sa tête avait heurté le pare-chocs d'une voiture (paragraphe 21 du rapport de la Commission du 23 avril 1999). Par contre, le rapport de police du 8 mars 1996 indique que le visage du requérant a heurté le garde-boue d'une voiture stationnée ainsi que le goudron du parking (paragraphe 14 ci-dessus). Le Gouvernement n'a pas expliqué cette incohérence. 76. La Cour rappelle que le requérant a eu une double fracture de la mâchoire, ainsi que des contusions faciales. Eu égard au caractère sévère des lésions et malgré les conclusions exposées dans le rapport précité, elle estime que le Gouvernement n'a pas fourni d'arguments convaincants ou crédibles pouvant servir à expliquer ou à justifier le degré de force utilisé durant l'opération d'arrestation. Partant, la force employée a été excessive et injustifiée au vu des circonstances. 77. Cet usage de la force a eu pour conséquence des lésions qui ont incontestablement causé au requérant de graves souffrances d'une nature telle qu'elles s'analysent en un traitement inhumain. 78. Il y a donc eu violation de l'article 3 de la Convention du fait du traitement auquel le requérant a été soumis durant son arrestation.</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95. Le Gouvernement a rétorqué que le contrôle de la correspondance du requérant avec la Commission s'était fait conformément à l'article 211 du code de procédure pénale. Il a ajouté, s'appuyant sur l'article 213 b) § 3 du code de procédure pénale promulgué le 23 octobre 1998, que la correspondance entre les détenus et la Cour européenne des Droits de l'Homme n'était désormais plus contrôlée en Slovénie. 96. La Cour estime que le contrôle de la correspondance du requérant avec la Commission constitue une ingérence dans les droits garantis par l'article 8 § 1. 97. Pour ne pas méconnaître l'article 8, pareille ingérence doit avoir été « prévue par la loi », avoir poursuivi un but légitime au regard du paragraphe 2 et avoir été nécessaire dans une société démocratique pour atteindre ce but (arrêts Silver et autres c. Royaume-Uni du 25 mars 1983, série A n o 61, p. 32, § 84, et Petra c. Roumanie du 23 septembre 1998, Recueil 1998-VII, p. 2853, § 36). 98. L'ingérence avait une base légale, à savoir l'article 211 § 3 du code de procédure pénale, et l'on peut supposer qu'elle poursuivait le but légitime que constitue « la défense de l'ordre et la prévention des infractions pénales ». 99. Quant à la nécessité de l'ingérence, la Cour ne voit aucune raison impérieuse justifiant le contrôle de la correspondance en question, dont il était important de respecter la confidentialité (arrêt Campbell c. Royaume-Uni du 25 mars 1992, série A n o 233, p. 22, § 62). En conséquence, l'ingérence litigieuse n'était pas nécessaire dans une société démocratique au sens de l'article 8 § 2. 100. La Cour a noté que depuis la promulgation de l'article 213 b) du code de procédure pénale le 23 octobre 1998, la correspondance entre des personnes détenues et la Cour n'est plus contrôlée. Toutefois, cet élément ne saurait influer sur la position à adopter en l'espèce. 101. Dès lors, il y a eu violation de l'article 8 de la Convention. VI. SUR L'APPLICATION DE L'ARTICLE 41 DE LA CONVENTION 102.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 103. Le requérant réclame un montant de 174 897 marks allemands (DEM) en se référant essentiellement à un manque à gagner et aux coûts engagés par sa compagne qui s'est occupée de lui en Slovénie, à la rétention de la voiture de sa compagne par les autorités slovènes et à la dépréciation des actions dont il était propriétaire pendant sa détention en Slovénie. 104. Le Gouvernement s'oppose à cette demande, qu'il estime non fondée. 105. La Cour n'aperçoit aucun lien de causalité direct entre les violations constatées des droits du requérant au regard de la Convention et les préjudices matériels invoqués. Il n'y a donc pas lieu d'octroyer un quelconque montant à ce titre. B. Dommage moral 106. Le requérant sollicite un montant de 1 000 000 de DEM en réparation de la détresse et de la souffrance ayant résulté du traitement que lui ont réservé les autorités slovènes. 107. Le Gouvernement juge cette somme excessive. Il rétorque que le requérant est lui-même responsable de sa blessure à la mâchoire et qu'il a refusé de subir une opération. 108. La Cour estime que la blessure causée au requérant doit avoir engendré une douleur considérable. Toutefois, en évaluant le préjudice causé à ce titre, la Cour doit tenir compte du fait que le requérant n'a pas voulu se soumettre en Slovénie au traitement approprié à sa blessure, malgré l'avis de médecins spécialistes selon lesquels une intervention chirurgicale était nécessaire (paragraphes 20 à 30 ci-dessus). Statuant en équité, la Cour octroie au requérant 25 000 DEM. C. Frais et dépens 109. Le requérant sollicite le remboursement du montant de 23 700 DEM, qu'il décompose comme suit : a) 16 500 DEM correspondant aux honoraires des avocats qui l'ont représenté dans la procédure pénale en Slovénie ; b)</w:t>
      </w:r>
    </w:p>
    <w:p>
      <w:r>
        <w:rPr>
          <w:b/>
        </w:rPr>
        <w:t>E. 7</w:t>
      </w:r>
    </w:p>
    <w:p>
      <w:r>
        <w:t>200 DEM correspondant au coût des appels téléphoniques passés par sa compagne pour garantir la protection des droits de l'intéressé tant en Slovénie que devant la Commission. 110. Le Gouvernement affirme que le remboursement des frais réclamés est injustifié. 111. La Cour rappelle qu'au titre de l'article 41 de la Convention, elle rembourse les frais et dépens dont il est établi qu'ils ont été réellement et nécessairement exposés et sont d'un montant raisonnable (voir notamment Jėčius c. Lituanie , n o 34578/97, § 112, CEDH 2000-IX). La Cour n'est pas convaincue que les dépenses faites par la compagne du requérant puissent être considérées comme nécessairement exposées en vue d'empêcher ou de réparer les violations de la Convention constatées. Pour ce qui est des honoraires d'avocats, ils concernaient essentiellement la défense du requérant contre les accusations portées par les autorités slovènes et qui ne faisaient pas l'objet de la procédure devant la Cour. En outre, la Cour relève que le Conseil de l'Europe a versé à M. Rehbock la somme de 17 098,12 francs français (FRF) au titre de l'assistance judiciaire. Statuant en équité, la Cour juge raisonnable d'octroyer au requérant 7 000 DEM, plus tout montant pouvant être dû au titre de la taxe sur la valeur ajoutée, moins les 17 098,12 FRF versés par le Conseil de l'Europe par la voie de l'assistance judiciaire. D. Intérêts moratoires 112. Selon les informations dont la Cour dispose, le taux d'intérêt légal applicable en Allemagne à la date d'adoption du présent arrêt est de 4 % 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