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29192/95 vom 11. Juli 2000</w:t>
      </w:r>
    </w:p>
    <w:p>
      <w:r>
        <w:t>Ecthr Chamber, 2000-07-11, FR</w:t>
      </w:r>
    </w:p>
    <w:p>
      <w:r>
        <w:rPr>
          <w:b/>
        </w:rPr>
        <w:t xml:space="preserve">Quelle: </w:t>
      </w:r>
      <w:r>
        <w:t>https://mcp.opencaselaw.ch/entscheid/ecthr_chamber_29192_95</w:t>
      </w:r>
    </w:p>
    <w:p>
      <w:r>
        <w:t>FR: ECTHR_CHAMBER 29192/95 du 11 juillet 2000</w:t>
      </w:r>
    </w:p>
    <w:p>
      <w:r>
        <w:t>IT: ECTHR_CHAMBER 29192/95 del 11 luglio 2000</w:t>
      </w:r>
    </w:p>
    <w:p>
      <w:pPr>
        <w:pStyle w:val="Heading2"/>
      </w:pPr>
      <w:r>
        <w:t>Regeste</w:t>
      </w:r>
    </w:p>
    <w:p>
      <w:r>
        <w:t>Violation de l'Art. 8;Dommage matériel - demande rejetée;Préjudice moral - réparation pécuniaire;Remboursement partiel frais et dépens; Violation: 8</w:t>
      </w:r>
    </w:p>
    <w:p>
      <w:pPr>
        <w:pStyle w:val="Heading2"/>
      </w:pPr>
      <w:r>
        <w:t>Erwägungen</w:t>
      </w:r>
    </w:p>
    <w:p>
      <w:r>
        <w:rPr>
          <w:b/>
        </w:rPr>
        <w:t>E. 49</w:t>
      </w:r>
    </w:p>
    <w:p>
      <w:r>
        <w:t>Le requérant se plaint du refus par les autorités néerlandaises de proroger son permis de séjour. Il y voit une violation de l'article 8 de la Convention, aux termes duquel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 ‑ être économique du pays, à la défense de l'ordre et à la prévention des infractions pénales, à la protection de la santé ou de la morale, ou à la protection des droits et libertés d'autrui. » A. Thèses défendues devant la Cour 1. Le requérant</w:t>
      </w:r>
    </w:p>
    <w:p>
      <w:r>
        <w:rPr>
          <w:b/>
        </w:rPr>
        <w:t>E. 50</w:t>
      </w:r>
    </w:p>
    <w:p>
      <w:r>
        <w:t>A l'audience, le représentant de M. Cılız a soutenu que l'expulsion de son client et les décisions prises subséquemment par les autorités néerlandaises s'analysent en une ingérence dans l'exercice par le requérant de son droit à mener une vie de famille avec son fils. Cette ingérence ne saurait, d'après lui, passer pour justifiée au regard du second paragraphe de l'article 8. 51. A la suite de sa séparation d'avec sa femme en novembre 1991, le requérant aurait certes traversé une période de difficultés psychologiques au cours de laquelle il n'avait pas entretenu de contacts avec son fils, mais, du début de 1993 à janvier 1995, il l'aurait vu de une à trois fois par semaine. De surcroît, il aurait également contribué financièrement à l'entretien de Kürsad pendant cette période. Ce serait la mère de ce dernier qui aurait interprété le refus opposé par le tribunal d'arrondissement d'Utrecht le 24 janvier 1995 à la demande d'établissement d'un régime des visites comme emportant dénégation du droit du requérant à entretenir des rapports avec son fils, alors que le tribunal lui avait enjoint d'assurer le maintien des contacts existant entre son fils et son ex-mari. Quoi qu'il en soit, la seule rencontre-test ayant eu lieu avant l'expulsion de M. Cılız aurait montré que, même après une période de dix mois au cours de laquelle ils ne s'étaient pas vus, le requérant et Kürsad avaient pu établir un bon contact. 52. En réalité, les intérêts de l'enfant n'auraient pas été privilégiés dans le processus décisionnel, et il y aurait eu un manque de coordination entre les autorités administratives et les autorités judiciaires concernées. De ce fait, les rencontres-tests ultérieures, qui avaient été ordonnées par une autorité déterminée, n'avaient pu avoir lieu, au motif que le requérant avait été expulsé et s'était vu refuser un visa de rentrée à cause de décisions prises par d'autres autorités. 2. Le gouvernement défendeur 53. Le gouvernement défendeur soutient que, pour deux motifs limpides, la présente espèce doit être distinguée de l'affaire Berrehab c. Pays-Bas (arrêt du 21 juin 1988, série A n o 138), avec laquelle la Commission a cherché à la comparer. En premier lieu, l'intérêt du bien-être économique du pays pèserait d'un poids plus lourd en l'occurrence, compte tenu du fait que le requérant percevait des prestations sociales à l'expiration de la période d'un an qu'il s'était vu accorder afin de trouver du travail. De surcroît, l'intéressé n'aurait contribué que de manière irrégulière à l'entretien et à l'éducation de son fils. M. Berrehab, de son côté, exerçait une activité rémunérée et assumait une partie des frais afférents à l'entretien et à l'éducation de sa fille ( ibidem , pp. 8-9, §§ 8 et 9). Deuxièmement, à la différence de la situation qui prévalait dans l'affaire Berrehab, les circonstances de la présente espèce n'ont pas révélé l'existence, entre le requérant et son fils, de liens familiaux étroits qui auraient été rompus avec l'expulsion du premier. Après avoir quitté le domicile conjugal alors que son fils était âgé de quinze mois, M. Cılız n'a plus eu avec son enfant que des contacts irréguliers, tandis que M. Berrehab voyait sa fille quatre jours par semaine, chaque fois pendant plusieurs heures ( ibidem , p. 14, § 21). 54. Pour le gouvernement défendeur, ce serait aller au-delà des obligations que l'article 8 de la Convention impose aux Etats que de permettre à un étranger de demeurer sur le territoire de l'Etat afin de lui donner la chance de tenter de développer des liens étroits avec son enfant en l'absence d'indications concrètes permettant de penser qu'après un certain temps le développement de pareils liens pourrait se concrétiser. Or en l'espèce le requérant ne s'est guère préoccupé de l'éducation et du bien-être de son enfant au cours des dernières années, et il n'a pratiquement pas entretenu avec lui de liens familiaux concrets. 3. La Commission 55. D'après la Commission, les faits de la cause n'ont pas établi de manière univoque que le requérant n'attachait aucune importance aux contacts avec son fils, ou que leur relation fût seulement de nature superficielle. La Commission a été frappée, à cet égard, de constater que M. Cılız a été expulsé à un moment où l'enquête officielle au sujet de l'étroitesse de ses liens avec son fils n'était pas encore terminée, et que l'intéressé s'est vu par la suite refuser un visa d'entrée qui lui aurait permis de prendre part à la procédure relative au droit de visite. Elle conclut que, contrairement à ce qu'exige l'article 8 de la Convention, l'Etat défendeur n'a pas ménagé un juste équilibre entre, d'une part, l'intérêt du requérant et de son fils à maintenir leurs contacts, et, d'autre part, l'intérêt général du bien-être économique du pays. 4. Le gouvernement turc 56. Le gouvernement turc fait observer, en premier lieu, que les droits garantis par l'article 8 de la Convention ne s'appliquent pas uniquement aux étrangers en séjour régulier dans un Etat contractant. D'après lui, l'atteinte portée au droit du requérant au respect de sa vie familiale n'était pas prévue par la loi, au sens de l'article 8 § 2 de la Convention : les dispositions légales en vigueur attachaient des conséquences au droit pour un étranger de demeurer aux Pays-Bas après la fin de la cohabitation avec son conjoint – même avant le prononcé du divorce – indépendamment des liens familiaux entre l'intéressé et ses enfants nés du mariage. 57. En outre, ce serait uniquement le bien-être économique du pays qui aurait milité en faveur de l'expulsion du requérant en l'espèce. Or cette notion aurait subi des changements importants depuis l'époque des épreuves économiques vécue au lendemain de la Seconde Guerre mondiale et pendant laquelle la Convention a été élaborée. Eu égard à la tendance actuelle à la dérégulation économique et compte tenu de l'abolition de toutes les restrictions à l'immigration lorsqu'il s'agit de ressortissants des Etats membres de l'Union européenne, la protection du bien-être économique du pays ne pourrait plus se voir attribuer une importance à ce point considérable qu'elle l'emporte sur les intérêts d'une personne à maintenir des contacts avec son fils. 58. La mesure incriminée serait de surcroît disproportionnée. Non seulement elle aurait mis fin à toute possibilité pour le père d'avoir des contacts normaux avec son fils, mais ce dernier aurait en outre été à un âge où la crainte d'être abandonné est à son maximum et son développement aurait pu s'en trouver gravement affecté. B. Appréciation de la Cour 1. Sur la question de savoir si le lien entre le requérant et son fils s'analyse en une « vie familiale » 59. Rappelant sa jurisprudence antérieure, la Cour observe qu'il ne peut faire aucun doute qu'un lien s'analysant en une vie familiale au sens de l'article 8 § 1 de la Convention existe entre les parents et l'enfant né de leur mariage, cas illustré par la présente espèce. Pareille relation familiale naturelle ne prend pas fin par cela seul que les parents se séparent ou divorcent, avec pour conséquence que l'enfant cesse de vivre avec l'un de ses parents (arrêts Berrehab précité, p. 14, § 21, et Keegan c. Irlande du 26 mai 1994, série A n o 290, p. 19, § 50 ; voir également Irlen c. Allemagne, requête n o 12246/86, décision de la Commission du 13 juillet 1987, Décisions et rapports 53, p. 225). 60. Il est clair qu'en l'espèce la relation entre les parents à la suite de leur séparation n'était pas aussi harmonieuse, en ce qui concerne la question des contacts du père avec son enfant, qu'elle l'était dans l'affaire Berrehab. On ne peut pas dire non plus que le requérant ait toujours montré à quel point il appréciait les rencontres avec son fils. Il apparaît ainsi que, pendant la période immédiatement postérieure à la séparation, M. Cılız n'a fait aucune tentative pour voir son fils et que, lorsqu'il a exprimé le désir de le rencontrer, il ne s'est pas présenté aux rendez-vous fixés par les autorités compétentes (paragraphes 11 et 12 ci-dessus). Néanmoins, le contact fut rétabli en février 1993, et il s'en est suivi une période au cours de laquelle des rencontres ont eu lieu, sinon de manière régulière, du moins avec une certaine fréquence, entre le requérant et son fils. M. Cılız s'est également adressé aux tribunaux à plusieurs reprises afin de faire statuer sur la question du droit de visite, et, dans sa décision du 24 janvier 1995, le tribunal d'arrondissement d'Utrecht a dit supposer que les contacts existant entre le requérant et son fils se poursuivraient (paragraphe 21 ci-dessus). Compte tenu de ce qui précède, la Cour considère que les événements consécutifs à la séparation du requérant et de sa femme ne peuvent s'analyser en des circonstances exceptionnelles de nature à rompre les liens de « vie familiale » entre le requérant et son fils (voir, entre autres, l'arrêt Ahmut c. Pays-Bas du 28 novembre 1996, Recueil des arrêts et décisions 1996-VI, p. 2030, § 60). Nul n'a d'ailleurs avancé cet argument. 2. Sur la question de savoir si l'affaire concerne une « ingérence » dans l'exercice par le requérant de son droit au respect de sa « vie familiale » ou la non-exécution d'une obligation positive 61. La Cour rappelle que l'article 8 tend pour l'essentiel à prémunir l'individu contre des ingérences arbitraires des pouvoirs publics. Il peut engendrer, de surcroît, des obligations positives inhérentes à un « respect » effectif de la vie familiale. La frontière entre les obligations positives et les obligations négatives de l'Etat au titre de cette disposition ne se prête toutefois pas à une définition précise. Les principes applicables sont néanmoins comparables. Dans les deux cas, il faut tenir compte du juste équilibre à ménager entre les intérêts concurrents de l'individu et de la société dans son ensemble ; de même, dans les deux hypothèses, l'Etat jouit d'une certaine marge d'appréciation (arrêt Ahmut précité, p. 2031, § 63). 62. En fait, le cas d'espèce présente les deux types d'obligations : d'une part, une obligation positive de faire en sorte que la vie familiale entre parents et enfants puisse se poursuivre après un divorce (voir, mutatis mutandis , l'arrêt Keegan précité, p. 19, § 50), et, de l'autre, une obligation négative de s'abstenir d'adopter des mesures propres à entraîner une rupture des liens familiaux. La Cour considère que les autorités internes avaient commencé à faire le nécessaire pour s'acquitter de la première obligation, puisqu'aussi bien dans la procédure relative à l'établissement d'un régime des visites, le caractère faisable et désirable des contacts devait être examiné. C'est toutefois la décision de ne pas autoriser le requérant à continuer à séjourner aux Pays-Bas et son expulsion subséquente qui ont mis obstacle à cet examen. Aussi la Cour juge-t-elle parfaitement approprié de considérer qu'est alléguée en l'espèce une « ingérence » dans l'exercice par le requérant de son droit au respect de sa « vie familiale ». 63. Dès lors, la Cour examinera tout d'abord la question de savoir si cette ingérence était « prévue par la loi », si elle poursuivait un ou plusieurs buts légitimes au regard de l'article 8 § 2 et si elle était « nécessaire dans une société démocratique » pour atteindre le ou lesdits buts. 3. « Prévue par la loi » 64. La Cour n'a aucun mal à admettre que la décision de refuser au requérant la prorogation de son permis de séjour aux Pays-Bas avait une base en droit interne. Elle relève à cet égard que, conformément à l'article 4.3, alinéas a) et d), du chapitre B19 de la circulaire de 1982 sur les étrangers, pareille prorogation pouvait être refusée si, un an après la cessation de la cohabitation entre les époux, la personne concernée n'avait pas un emploi salarié ou une activité indépendante censés durer encore au moins un an. L'article 4.4 précisait en outre que l'article 8 de la Convention devait être pris en compte dans la décision (paragraphes 42-43 ci-dessus). Il est donc suffisamment clair que, là où les autorités estimaient que le refus d'accorder une prorogation d'un permis de séjour ne s'analysait pas en une ingérence incompatible avec l'article 8, la présence des membres de la famille aux Pays-Bas ne mettait pas obstacle à l'expulsion. 4. But légitime 65. La Cour estime que la mesure incriminée visait à préserver le bien-être économique du pays et servait donc un intérêt légitime, au sens du second paragraphe de l'article 8. 5. « Nécessaire dans une société démocratique » 66. Pour déterminer si une ingérence était « nécessaire dans une société démocratique », la Cour tient compte du fait qu'une marge d'appréciation doit être laissée aux Etats contractants. Elle rappelle à cet égard que la Convention n'interdit pas, en principe, à ceux-ci de réglementer l'entrée et la durée du séjour des étrangers (arrêt Berrehab précité, pp. 15-16, § 28). Toutefois, elle réaffirme également que si l'article 8 ne contient pas d'exigences procédurales explicites le processus décisionnel conduisant à des mesures d'ingérence n'en doit pas moins être équitable et respecter comme il convient les intérêts sauvegardés par l'article 8 : « Il échet (...) de déterminer, en fonction des circonstances de chaque espèce et notamment de la gravité des mesures à prendre, si les parents ont pu jouer dans le processus décisionnel, considéré comme un tout, un rôle assez grand pour leur accorder la protection requise de leurs intérêts. Dans la négative, il y a manquement au respect de leur vie familiale et l'ingérence résultant de la décision ne saurait passer pour « nécessaire » au sens de l'article 8. » (arrêts W. c. Royaume-Uni du 8 juillet 1987, série A n o 121, pp. 28 et 29, §§ 62 et 64, et McMichael c. Royaume-Uni du 24 février 1995, série A n o 307-B, p. 55, § 87) 67. En ce qui concerne les circonstances de la présente espèce, la Cour a déjà noté ci-dessus (paragraphe 62 ci-dessus) que deux procédures cheminaient parallèlement. Le 24 janvier 1995, le tribunal d'arrondissement d'Utrecht rejeta la demande du requérant tendant à l'établissement d'un régime des visites et, le 10 mai 1995, celui de La Haye statua sur la question de la prorogation du séjour de l'intéressé aux Pays-Bas. Dans son jugement, le tribunal de La Haye se référa à la décision par laquelle la demande du requérant tendant à l'établissement d'un régime des visites avait été rejetée, ne prenant apparemment pas en compte le fait que le tribunal d'Utrecht avait précisé que les contacts existant entre l'intéressé et son fils devaient se poursuivre. De plus, à l'époque, le recours formé par M. Cılız dans la procédure relative au droit de visite était pendant devant la cour d'appel d'Amsterdam, devant laquelle une audience eut lieu le 19 avril 1995 (paragraphes 21-23 ci-dessus). 68. Quant à l'argument du gouvernement défendeur selon lequel le requérant a eu amplement le temps avant son expulsion de démontrer que des liens étroits existaient entre lui-même et son fils mais n'en a rien fait, la Cour observe que les tribunaux internes ayant eu à connaître de la demande de fixation d'un régime des visites ont jugé quant à eux qu'il convenait d'adopter une attitude plus prudente. Reconnaissant que M. Cılız avait en principe le droit d'entretenir des contacts avec son fils, la cour d'appel d'Amsterdam ordonna, le 1 er juin 1995, que des rencontres-tests sous surveillance fussent organisées par le Conseil de la protection de l'enfance afin de tirer au clair l'état de la relation entre l'intéressé et son fils. Cela n'empêcha toutefois pas les autorités néerlandaises de mettre le requérant en détention le 31 octobre 1995 en vue de son expulsion sans qu'aucune rencontre-test n'eût été organisée (paragraphes 25 et 27 ci-dessus). A l'instar de la Commission, la Cour observe que le retard dans la mise en place de ces rencontres-tests, qui était dû à la charge de travail du Conseil de la protection de l'enfance, ne peut en aucune manière être imputé au requérant, qui, en réalité, a tenté de faire accélérer les choses en demandant qu'un organe autre que le conseil soit désigné pour faire le nécessaire (paragraphe 26 ci-dessus). 69. La Cour relève en outre que M. Cılız n'a pas été reconnu coupable de la moindre infraction pénale de nature à justifier son expulsion des Pays-Bas (arrêt Berrehab précité, p. 16, § 29). 70. Le requérant fut expulsé peu après qu'une première rencontre-test eut été organisée. Il se vit alors refuser un visa qui lui aurait permis de revenir aux Pays-Bas pour participer à de nouvelles rencontres-tests ou pour poursuivre la procédure relative au droit de visite devant la cour d'appel d'Amsterdam. Dans sa décision du 7 mai 1998 refusant la fixation d'un régime des visites, celle-ci prit en compte, notamment, le fait que l'intéressé n'avait pas vu son fils depuis la rencontre-test qui avait eu lieu deux ans et demi auparavant, qu'aucune autre rencontre-test n'avait été organisée et qu'il n'était pas certain que M. Cılız reviendrait aux Pays-Bas (paragraphe 35 ci-dessus). 71. La Cour considère que non seulement les autorités ont préjugé l'issue de la procédure relative à la question du droit de visite en expulsant le requérant mais, et cela est plus grave, elles ont privé l'intéressé de toute possibilité de participer utilement à cette procédure, pour laquelle sa disponibilité, notamment pour les rencontres-tests, revêtait manifestement une importance capitale. On ne peut guère douter par ailleurs que, lorsque M. Cılız finit par obtenir un visa lui permettant de revenir aux Pays-Bas pour trois mois en 1999, le simple écoulement du temps avait eu pour effet de trancher par un fait accompli l'action en fixation d'un régime des visites alors engagée par l'intéressé (arrêt W. c. Royaume-Uni précité, p. 29, § 65). En ne coordonnant pas les différentes procédures portant sur les droits familiaux du requérant, les autorités ont dès lors agi d'une manière qui n'a pas permis aux liens familiaux revendiqués de se développer (arrêt Keegan précité, p. 19, § 50). 72. En résumé, la Cour considère que ni pour l'expulsion, ni pour le droit de visite, le processus décisionnel ne protégeait de la manière voulue les intérêts du requérant garantis par l'article 8. Dès lors, l'atteinte au droit reconnu à l'intéressé par cette disposition n'était pas nécessaire dans une société démocratique. Il y a donc eu violation de l'article 8 de la Convention. II. SUR L'APPLICATION DE L'ARTICLE 41 DE LA CONVENTION 73. 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Dommages 1. Préjudice matériel 74. Le requérant revendique une somme de 136 360 florins néerlandais (NLG), correspondant à la perte de revenus subie pendant les trente-neuf mois s'étant écoulés entre son arrestation et sa reprise du travail à son retour aux Pays-Bas, à la perte des meubles garnissant son domicile à Utrecht, qu'il fut contraint d'abandonner, et aux frais de voyage et de subsistance entraînés par ses trente-quatre visites à la Représentation des Pays-Bas à Ankara. Le gouvernement défendeur invite la Cour à rejeter cette demande au motif que, d'après lui, il n'existe aucun lien de causalité entre ladite perte de revenus et la violation alléguée de la Convention, et que, sachant depuis quelque temps qu'il devrait quitter les Pays-Bas, M. Cılız aurait pu prendre des mesures pour mettre son mobilier en lieu sûr. Le Gouvernement fait en outre observer que la prétention relative aux visites à la Représentation néerlandaise ne s'appuie sur aucun justificatif. 75. La Cour n'aperçoit aucun lien de causalité entre la violation de l'article 8 et les pertes alléguées. Dès lors, rien ne justifie l'octroi d'une quelconque indemnité de ce chef. 2. Préjudice moral 76. Le requérant soutient qu'il a souffert et continue de souffrir un dommage moral. Il s'en remet à la sagesse de la Cour pour ce qui est de la fixation de la satisfaction équitable à cet égard. Le gouvernement défendeur ne s'exprime pas sur ce point, tandis que le gouvernement turc considère qu'une somme de 20 000 NLG ferait l'affaire. 77. Statuant en équité, la Cour alloue à M. Cılız une somme de 25 000 NLG à ce titre. B. Frais et dépens 78. Le requérant réclame un montant de 18 200 NLG pour les honoraires de son avocat et les frais engagés dans la procédure. Il sollicite en outre le remboursement d'une somme 4 352,50 NLG correspondant aux honoraires et aux frais des interprètes intervenus dans la procédure à Strasbourg et dans celle relative au droit de visite engagée en janvier 1999. Le gouvernement défendeur se dit prêt à rembourser les frais d'assistance en justice raisonnablement engagés dans la procédure devant la Commission et devant la Cour. 79. En ce qui concerne la demande de remboursement des frais de représentation en justice, la Cour, statuant en équité et tenant compte du relevé détaillé produit par l'intéressé, alloue au requérant la somme de 18 200 NLG, plus tout montant pouvant être dû au titre de la taxe sur la valeur ajoutée, moins les montants perçus au titre de l'assistance judiciaire accordée par le Conseil de l'Europe. Elle observe de surcroît que la procédure relative au droit de visite engagée en janvier 1999 présente un lien de causalité avec les droits familiaux de M. Cılız et considère dès lors que les frais d'interprétation encourus dans le cadre de cette procédure doivent entrer en ligne de compte, au même titre que ceux exposés dans la procédure suivie devant la Commission et devant la Cour. En conséquence, elle alloue au requérant la somme de 4 352,50 NLG à ce titre. C. Intérêts moratoires 80. D'après les informations dont la Cour dispose, le taux d ' intérêt légal applicable aux Pays-Bas à la date d ' adoption du présent arrêt est de 6 % l '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