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ECTHR_CHAMBER 2840/10 vom 15. März 2022</w:t>
      </w:r>
    </w:p>
    <w:p>
      <w:r>
        <w:t>Ecthr Chamber, 2022-03-15, FR</w:t>
      </w:r>
    </w:p>
    <w:p>
      <w:r>
        <w:rPr>
          <w:b/>
        </w:rPr>
        <w:t xml:space="preserve">Quelle: </w:t>
      </w:r>
      <w:r>
        <w:t>https://mcp.opencaselaw.ch/entscheid/ecthr_chamber_2840_10</w:t>
      </w:r>
    </w:p>
    <w:p>
      <w:r>
        <w:t>FR: ECTHR_CHAMBER 2840/10 du 15 mars 2022</w:t>
      </w:r>
    </w:p>
    <w:p>
      <w:r>
        <w:t>IT: ECTHR_CHAMBER 2840/10 del 15 marzo 2022</w:t>
      </w:r>
    </w:p>
    <w:p>
      <w:pPr>
        <w:pStyle w:val="Heading2"/>
      </w:pPr>
      <w:r>
        <w:t>Regeste</w:t>
      </w:r>
    </w:p>
    <w:p>
      <w:r>
        <w:t>Violation de l'article 10 - Liberté d'expression-{général} (Article 10-1 - Liberté d'expression); Violation: 10;10-1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de la Convention. Sur l’application de l’article 41 de la Convention 51. Aux termes de l’article 41 de la Convention : « Si la Cour déclare qu’il y a eu violation de la Convention ou de ses Protocoles, et si le droit interne de la Haute Partie contractante ne permet d’effacer qu’imparfaitement les conséquences de cette violation, la Cour accorde à la partie lésée, s’il y a lieu, une satisfaction équitable. » 52. La société requérante n’a pas présenté de demande au titre de la satisfaction équitable. En conséquence, la Cour estime qu’il n’y a pas lieu de lui octroyer une somme au titre de l’article 41 de la Convention.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