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2834/05 vom 6. Dezember 2007</w:t>
      </w:r>
    </w:p>
    <w:p>
      <w:r>
        <w:t>Ecthr Chamber, 2007-12-06, FR</w:t>
      </w:r>
    </w:p>
    <w:p>
      <w:r>
        <w:rPr>
          <w:b/>
        </w:rPr>
        <w:t xml:space="preserve">Quelle: </w:t>
      </w:r>
      <w:r>
        <w:t>https://mcp.opencaselaw.ch/entscheid/ecthr_chamber_2834_05</w:t>
      </w:r>
    </w:p>
    <w:p>
      <w:r>
        <w:t>FR: ECTHR_CHAMBER 2834/05 du 6 décembre 2007</w:t>
      </w:r>
    </w:p>
    <w:p>
      <w:r>
        <w:t>IT: ECTHR_CHAMBER 2834/05 del 6 dicembre 2007</w:t>
      </w:r>
    </w:p>
    <w:p>
      <w:pPr>
        <w:pStyle w:val="Heading2"/>
      </w:pPr>
      <w:r>
        <w:t>Regeste</w:t>
      </w:r>
    </w:p>
    <w:p>
      <w:r>
        <w:t>Violation de l'art. 6-1;Violation de P1-1; Violation: 6;6-1</w:t>
      </w:r>
    </w:p>
    <w:p>
      <w:pPr>
        <w:pStyle w:val="Heading2"/>
      </w:pPr>
      <w:r>
        <w:t>Erwägungen</w:t>
      </w:r>
    </w:p>
    <w:p>
      <w:r>
        <w:rPr>
          <w:b/>
        </w:rPr>
        <w:t>E. 27</w:t>
      </w:r>
    </w:p>
    <w:p>
      <w:r>
        <w:t>Les requérants se plaignent que le rejet de l’un de leurs moyens de cassation comme vague a porté atteinte à leur droit d’accès à un tribunal. En outre, ils se plaignent d’une violation du principe de l’égalité des armes, du fait que la cour d’appel fixa une indemnité au mètre carré qui représenterait la moitié du prix proposé par la partie adverse. Ils invoquent les articles 6 § 1 et 13 de la Convention. Les parties pertinentes de l’article 6 § 1 de la Convention sont ainsi libellées : « Toute personne a droit à ce que sa cause soit entendue équitablement (...), par un tribunal (...) qui décidera (...) des contestations sur ses droits et obligations de caractère civil (...) » L’article 13 de la Convention se lit comme suit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A. Sur le droit d’accès à un tribunal 1. Sur la recevabilité</w:t>
      </w:r>
    </w:p>
    <w:p>
      <w:r>
        <w:rPr>
          <w:b/>
        </w:rPr>
        <w:t>E. 28</w:t>
      </w:r>
    </w:p>
    <w:p>
      <w:r>
        <w:t>Le Gouvernement allègue, tout d’abord, que le pourvoi en cassation a été déclaré irrecevable en raison de son caractère vague. Si les requérants avaient formulé leurs griefs de manière conforme aux règles de recevabilité régissant l’exercice du pourvoi en cassation, celui-ci n’aurait pas été rejeté et leur grief aurait été examiné sur le fond. Par conséquent, le Gouvernement affirme que les requérants ont omis d’épuiser valablement les voies de recours internes.</w:t>
      </w:r>
    </w:p>
    <w:p>
      <w:r>
        <w:rPr>
          <w:b/>
        </w:rPr>
        <w:t>E. 29</w:t>
      </w:r>
    </w:p>
    <w:p>
      <w:r>
        <w:t>Les requérants rétorquent que, suite au rejet de leur moyen de cassation par la Cour de cassation, il ne leur était pas possible d’exercer un quelconque recours devant les instances nationales et, en conséquence, ils ne pouvaient que s’adresser à la Cour.</w:t>
      </w:r>
    </w:p>
    <w:p>
      <w:r>
        <w:rPr>
          <w:b/>
        </w:rPr>
        <w:t>E. 30</w:t>
      </w:r>
    </w:p>
    <w:p>
      <w:r>
        <w:t>S’agissant de l’exception d’irrecevabilité soulevée par le Gouvernement, la Cour rappelle qu’aux termes de l’article 35 § 1 de la Convention, elle ne peut être saisie qu’après l’épuisement des voies de recours internes. En l’occurrence, le Gouvernement semble tirer argument et demander l’irrecevabilité du grief pour la même raison que celle qui, aux yeux de la Cour, a justifié la communication du grief en question, à savoir le motif pour lequel la haute juridiction hellénique déclara le pourvoi en cassation irrecevable. La Cour estime, dès lors, que cette exception est étroitement liée à la substance du grief énoncé par les requérants sur le terrain de l’article 6 de la Convention et décide de la joindre au fond.</w:t>
      </w:r>
    </w:p>
    <w:p>
      <w:r>
        <w:rPr>
          <w:b/>
        </w:rPr>
        <w:t>E. 31</w:t>
      </w:r>
    </w:p>
    <w:p>
      <w:r>
        <w:t>Par ailleurs, la Cour constate que ce grief n’est pas manifestement mal fondé au sens de l’article 35 § 3 de la Convention. La Cour relève par ailleurs que celui-ci ne se heurte à aucun autre motif d’irrecevabilité. Il convient donc de le déclarer recevable. 2. Sur le fond</w:t>
      </w:r>
    </w:p>
    <w:p>
      <w:r>
        <w:rPr>
          <w:b/>
        </w:rPr>
        <w:t>E. 32</w:t>
      </w:r>
    </w:p>
    <w:p>
      <w:r>
        <w:t>Le Gouvernement affirme que les requérants, représentés par un avocat devant la Cour de cassation, étaient tenus de connaître leurs obligations en matière d’introduction d’un pourvoi. La règle appliquée par la haute juridiction exigeait que le pourvoi en cassation comporte l’exposé des faits sur lesquels la cour d’appel s’était fondée pour rejeter le recours. Cette règle est une construction jurisprudentielle appliquée par la Cour de cassation de façon constante. Il s’ensuit qu’en l’occurrence les modalités d’exercice du pourvoi en cassation pouvaient passer pour prévisibles aux yeux des requérants. En particulier, le Gouvernement note que la juridiction suprême exige que l’intéressé relate dans son pourvoi les faits de la cause tels qu’ils avaient été accueillis par la juridiction inférieure. Pour le Gouvernement, cet exposé est indispensable afin que la Cour de cassation puisse, par la suite, exercer son contrôle sur l’interprétation d’une règle de droit par la juridiction inférieure. Le Gouvernement estime raisonnable que le demandeur en cassation soit tenu de présenter les faits de la cause tels qu’ils ont été établis par la cour d’appel après l’administration des preuves. Dans le cas contraire, il incomberait à la Cour de cassation de rechercher elle-même les faits de la cause qui ont conduit la cour d’appel à une interprétation erronée du droit interne.</w:t>
      </w:r>
    </w:p>
    <w:p>
      <w:r>
        <w:rPr>
          <w:b/>
        </w:rPr>
        <w:t>E. 33</w:t>
      </w:r>
    </w:p>
    <w:p>
      <w:r>
        <w:t>Les requérants rétorquent que la cour d’appel avait rejeté le moyen de cassation en cause, non pas comme infondé mais comme irrecevable, au motif que l’indemnité spéciale ne correspondait qu’au préjudice allégué dû à l’expropriation et non à la nature de l’ouvrage. Ils notent, ainsi, que la cour d’appel ne développa aucun raisonnement sur le fond de leur grief pour pouvoir, par la suite, reprendre celui-ci dans leur pourvoi en cassation. En outre, les requérants allèguent que leur moyen de cassation consistait en un moyen de droit rendant le rétablissement des faits de la cause superflu. En tout état de cause, ils arguent que tous les documents nécessaires, à savoir leur demande de fixation du montant unitaire définitif de l’indemnisation ainsi que l’arrêt n o 1924/2002 de la cour d’appel de Thessalonique, étaient joints au dossier de l’affaire devant la Cour de cassation.</w:t>
      </w:r>
    </w:p>
    <w:p>
      <w:r>
        <w:rPr>
          <w:b/>
        </w:rPr>
        <w:t>E. 34</w:t>
      </w:r>
    </w:p>
    <w:p>
      <w:r>
        <w:t>La Cour se penchera, en l’espèce, sur la proportionnalité de la limitation imposée par rapport aux exigences de la sécurité juridique et de la bonne administration de la justice.</w:t>
      </w:r>
    </w:p>
    <w:p>
      <w:r>
        <w:rPr>
          <w:b/>
        </w:rPr>
        <w:t>E. 35</w:t>
      </w:r>
    </w:p>
    <w:p>
      <w:r>
        <w:t>Aux yeux de la Cour, la haute juridiction grecque a fixé de manière prétorienne une condition de recevabilité portant sur le caractère vague ou non des moyens de cassation. Cette règle obéit, en général, aux exigences de la sécurité juridique et de la bonne administration de la justice. Quand le demandeur en cassation reproche à la cour d’appel une appréciation erronée des faits de la cause par rapport à la règle juridique appliquée, il paraît raisonnable d’exiger qu’il relate dans son pourvoi les faits pertinents qui constituent l’objet de son action. Dans le cas contraire, la haute juridiction ne serait pas en mesure d’exercer son contrôle d’annulation à l’égard de l’arrêt attaqué. En effet, elle serait tenue de rétablir les faits pertinents de la cause et de les interpréter elle-même par rapport à la règle de droit appliquée par la cour d’appel. Cette hypothèse ne peut être envisagée car elle équivaudrait à exiger de la haute juridiction qu’elle formule elle-même les moyens de cassation, moyens qu’elle devrait, par la suite, examiner. En somme, la règle appliquée dans le cas d’espèce se concilie avec la spécificité du rôle joué par la Cour de cassation, dont le contrôle est limité au respect du droit (voir, en ce sens, Brechos c. Grèce (déc.), n o 7632/04, 11 avril 2006).</w:t>
      </w:r>
    </w:p>
    <w:p>
      <w:r>
        <w:rPr>
          <w:b/>
        </w:rPr>
        <w:t>E. 36</w:t>
      </w:r>
    </w:p>
    <w:p>
      <w:r>
        <w:t>Toutefois, la Cour considère que l’on saurait difficilement soutenir en l’espèce que le moyen de cassation en cause faisait peser sur la Cour de cassation la charge de rétablir les faits. Aux yeux de la Cour, trois éléments doivent être pris en compte. En premier lieu, ledit moyen de cassation visait exclusivement l’interprétation faite par la cour d’appel des dispositions appliquées en l’espèce, à savoir si l’indemnité pour la partie non expropriée de la propriété devait refléter sa dépréciation liée uniquement à l’expropriation et ne saurait prendre en considération la nature de l’ouvrage à réaliser sur la partie expropriée. Par conséquent, la présentation simultanée des faits de la cause, tels qu’ils avaient été établis par la cour d’appel, n’était pas indispensable pour que la haute juridiction puisse exercer son contrôle judiciaire (voir Efstathiou et autres c. Grèce , n o 36998/02, § 31, 27 juillet 2006).</w:t>
      </w:r>
    </w:p>
    <w:p>
      <w:r>
        <w:rPr>
          <w:b/>
        </w:rPr>
        <w:t>E. 37</w:t>
      </w:r>
    </w:p>
    <w:p>
      <w:r>
        <w:t>En deuxième lieu, la cour d’appel avait rejeté la demande des requérants à se voir verser une indemnité spéciale comme dépourvue de base légale. Elle ne l’avait donc pas examinée sur le fond et, par conséquent, l’exposé des faits pertinents à ce moyen de cassation faisait défaut. Partant, les requérants se trouvaient objectivement dans l’impossibilité de relater en l’espèce les faits sur lesquels la cour d’appel s’était fondée pour rejeter le moyen en cause.</w:t>
      </w:r>
    </w:p>
    <w:p>
      <w:r>
        <w:rPr>
          <w:b/>
        </w:rPr>
        <w:t>E. 38</w:t>
      </w:r>
    </w:p>
    <w:p>
      <w:r>
        <w:t>En dernier lieu, tous les documents nécessaires, à savoir la demande de fixation du montant unitaire définitif de l’indemnisation ainsi que l’arrêt n o 1924/2002 de la cour d’appel de Thessalonique étaient joints au pourvoi en cassation. Le juge suprême était ainsi en mesure de les consulter aisément et de vérifier éventuellement la pertinence des faits dans le cas d’espèce (voir Efstathiou et autres c. Grèce , précité, § 31).</w:t>
      </w:r>
    </w:p>
    <w:p>
      <w:r>
        <w:rPr>
          <w:b/>
        </w:rPr>
        <w:t>E. 39</w:t>
      </w:r>
    </w:p>
    <w:p>
      <w:r>
        <w:t>A la lumière des considérations qui précèdent, la Cour estime que le rejet du moyen de cassation litigieux relève d’une approche par trop formaliste des conditions de recevabilité du recours exercé. Par conséquent, la limitation imposée au droit d’accès des requérants à un tribunal n’a pas été proportionnée au but de garantir la sécurité juridique et la bonne administration de la justice.</w:t>
      </w:r>
    </w:p>
    <w:p>
      <w:r>
        <w:rPr>
          <w:b/>
        </w:rPr>
        <w:t>E. 40</w:t>
      </w:r>
    </w:p>
    <w:p>
      <w:r>
        <w:t>Partant, l’exception du Gouvernement ne saurait être retenue et il y a eu violation de l’article 6 § 1 de la Convention au regard du droit des requérants d’avoir accès à un tribunal.</w:t>
      </w:r>
    </w:p>
    <w:p>
      <w:r>
        <w:rPr>
          <w:b/>
        </w:rPr>
        <w:t>E. 41</w:t>
      </w:r>
    </w:p>
    <w:p>
      <w:r>
        <w:t>Enfin, eu égard au constat figurant au paragraphe 40 ci-dessus, la Cour n’estime pas nécessaire de se placer de surcroît sur le terrain de l’article 13. Les exigences de ce dernier sont en effet moins strictes que celles de l’article 6 § 1 et absorbées par elles en l’espèce (voir, entre autres Sporrong et Lönnroth c. Suède , arrêt du 23 septembre 1982, série A n o 52, p. 32, § 88). B. Sur le principe de l’égalité des armes Sur la recevabilité</w:t>
      </w:r>
    </w:p>
    <w:p>
      <w:r>
        <w:rPr>
          <w:b/>
        </w:rPr>
        <w:t>E. 42</w:t>
      </w:r>
    </w:p>
    <w:p>
      <w:r>
        <w:t>La Cour rappelle qu’une des exigences d’un procès équitable est l’égalité des armes, laquelle implique l’obligation d’offrir à chaque partie une possibilité raisonnable de présenter sa cause dans des conditions qui ne la placent pas dans une situation de net désavantage face à son adversaire (voir, parmi d’autres, Kress c. France [GC], n o 39594/98, § 72, CEDH 2001-VI). La Cour rappelle par ailleurs qu’il ne lui appartient pas d’apprécier elle-même les éléments de fait ayant conduit une juridiction nationale à adopter telle décision plutôt que telle autre, sous réserve de l’examen de compatibilité avec les dispositions de la Convention. Sinon, elle s’érigerait en une cour de troisième ou quatrième instance et elle méconnaîtrait les limites de sa mission (voir, parmi beaucoup d’autres, De Liedekerke c. Belgique (déc.), n o 45168/99, 3 mai 2005). La Cour a pour seule fonction, au regard de l’article 6 de la Convention, d’examiner les requêtes alléguant que les juridictions nationales ont méconnu des garanties procédurales spécifiques énoncées par cette disposition ou que la conduite de la procédure dans son ensemble n’a pas garanti un procès équitable au requérant.</w:t>
      </w:r>
    </w:p>
    <w:p>
      <w:r>
        <w:rPr>
          <w:b/>
        </w:rPr>
        <w:t>E. 43</w:t>
      </w:r>
    </w:p>
    <w:p>
      <w:r>
        <w:t>Examinant le cas d’espèce à la lumière de ces principes, la Cour estime que les requérants contestent en réalité la manière dont les juridictions internes ont fixé l’indemnité au mètre carré pour l’expropriation de leur terrain. Or, le simple désaccord des requérants avec le montant de l’indemnité qui leur a été versée, ne saurait suffire à conclure que la procédure n’a pas été équitable. De surcroît, la Cour observe que les requérants ont pu développer leurs arguments tout au long de la procédure litigieuse, qui a respecté sans faille le principe du contradictoire. Il s’ensuit que ledit grief est manifestement mal fondé sous l’angle de l’article 6 § 1 de la Convention et doit être rejeté en application de l’article 35 §§ 3 et 4 de la Convention.</w:t>
      </w:r>
    </w:p>
    <w:p>
      <w:r>
        <w:rPr>
          <w:b/>
        </w:rPr>
        <w:t>E. 44</w:t>
      </w:r>
    </w:p>
    <w:p>
      <w:r>
        <w:t>Par ailleurs, selon la jurisprudence constante de la Cour, l’article 13 exige un recours interne pour les seules plaintes que l’on peut estimer « défendables » au regard de la Convention (voir, entres autres, Powell et Rayner c. Royaume-Uni , arrêt du 21 février 1990, série A n o 172, p. 14, § 31 ; Keleş c. Turquie (déc.), n o 36682/97, 29 janvier 2002). Or en l’espèce, la Cour vient de constater que le présent grief des requérants tiré de l’article 6 § 1 est manifestement mal fondé. Il s’ensuit que ledit grief est manifestement mal fondé sous l’angle de l’article 13 de la Convention et doit être rejeté en application de l’article 35 §§ 3 et 4 de la Convention. II. SUR LES VIOLATIONS ALLÉGUÉES DE L’ARTICLE 1 DU PROTOCOLE N o 1</w:t>
      </w:r>
    </w:p>
    <w:p>
      <w:r>
        <w:rPr>
          <w:b/>
        </w:rPr>
        <w:t>E. 45</w:t>
      </w:r>
    </w:p>
    <w:p>
      <w:r>
        <w:t>Les requérants se plaignent que les tribunaux internes ont fixé un prix d’indemnité qui correspond au 1/6 e de la valeur actuelle des terrains expropriés. D’autre part, ils se plaignent que les juridictions internes ont refusé de leur allouer une indemnité spéciale pour les parties non expropriées de leurs terrains en prenant en compte leur dépréciation en raison de la nature de l’ouvrage public. Ils invoquent l’article 1 du Protocole n o 1, ainsi libellé : « Toute personne physique ou morale a droit au respect de ses biens. Nul ne peut être privé de sa propriété que pour cause d’utilité publique et dans les conditions prévues par la loi et les principes généraux du droit international. Les dispositions précédentes ne portent pas atteinte au droit que possèdent les Etats de mettre en vigueur les lois qu’ils jugent nécessaires pour réglementer l’usage des biens conformément à l’intérêt général ou pour assurer le paiement des impôts ou d’autres contributions ou des amendes. » A. En ce qui concerne l’indemnité d’expropriation Sur la recevabilité</w:t>
      </w:r>
    </w:p>
    <w:p>
      <w:r>
        <w:rPr>
          <w:b/>
        </w:rPr>
        <w:t>E. 46</w:t>
      </w:r>
    </w:p>
    <w:p>
      <w:r>
        <w:t>La Cour rappelle qu’une mesure d’ingérence dans le droit au respect des biens doit ménager un « juste équilibre » entre les exigences de l’intérêt général de la communauté et les impératifs de la sauvegarde des droits fondamentaux de l’individu (voir, entre autres, Sporrong et Lönnroth c. Suède , arrêt du 23 septembre 1982, série A n o 52, p. 26, § 69). Afin d’apprécier si la mesure litigieuse respecte le juste équilibre voulu et, notamment, si elle ne fait pas peser sur le requérant une charge disproportionnée, il y a lieu de prendre en considération les modalités d’indemnisation prévues par la législation interne. A cet égard, sans le versement d’une somme raisonnablement en rapport avec la valeur du bien, une privation de propriété constitue normalement une atteinte excessive qui ne saurait se justifier sur le terrain de l’article 1 du Protocole n o 1. Ce dernier ne garantit pourtant pas dans tous les cas le droit à une compensation intégrale, car des objectifs légitimes « d’utilité publique » peuvent militer pour un remboursement inférieur à la pleine valeur marchande (voir Les saints monastères c. Grèce , arrêt du 9 décembre 1994, série A n o 301 ‑ A, pp. 34-35, §§ 70-71).</w:t>
      </w:r>
    </w:p>
    <w:p>
      <w:r>
        <w:rPr>
          <w:b/>
        </w:rPr>
        <w:t>E. 47</w:t>
      </w:r>
    </w:p>
    <w:p>
      <w:r>
        <w:t>En l’espèce, la Cour ne s’estime pas appelée à se prononcer sur la question de savoir sur quelle base les autorités nationales auraient dû fixer le prix d’indemnisation. En effet, la Cour ne saurait se substituer aux tribunaux grecs pour déterminer la base qui devrait être prise en considération pour l’estimation de la valeur du terrain exproprié et la fixation des sommes dues qui en découlerait ( Malama c. Grèce , n o 43622/98, § 51, CEDH 2001–II). En tout état de cause, il n’y a aucun indice dans le dossier donnant à penser que les juridictions saisies ont fait preuve d’arbitraire dans la fixation de l’indemnité d’expropriation. Eu égard à la marge d’appréciation que l’article 1 du Protocole n o 1 laisse aux autorités nationales ( Papachelas c. Grèce [GC], n o 31423/96, § 49, CEDH–II), la Cour considère le prix fixé comme étant raisonnablement en rapport avec la valeur de la propriété expropriée. Il s’ensuit que cette partie du grief est manifestement mal fondée et doit être rejetée en application de l’article 35 §§ 3 et 4 de la Convention. B. En ce qui concerne l’indemnité spéciale 1. Sur la recevabilité</w:t>
      </w:r>
    </w:p>
    <w:p>
      <w:r>
        <w:rPr>
          <w:b/>
        </w:rPr>
        <w:t>E. 48</w:t>
      </w:r>
    </w:p>
    <w:p>
      <w:r>
        <w:t>Le Gouvernement allègue que les requérants n’étaient pas titulaires d’un « bien » au sens de l’article 1 du Protocole n o 1. Il argue que les requérants se plaignent en substance du manque à gagner en raison du fait que les terrains expropriés seraient dépourvus dorénavant d’un accès direct à la nouvelle route nationale. Or, le Gouvernement soutient que les requérants n’ont jamais eu l’espérance légitime que l’accès à la route nationale et les avantages dont ils bénéficiaient se prolongeraient à l’infini. La perte de ces avantages a résulté d’un acte administratif légal prévoyant la construction d’une nouvelle route nationale. Pour le Gouvernement, les conséquences de l’élargissement de la route nationale en cause pour les entreprises des requérants seraient identiques dans le cas où l’Etat eût décidé de condamner l’usage de cette autoroute et d’en faire construire une autre dans un autre site.</w:t>
      </w:r>
    </w:p>
    <w:p>
      <w:r>
        <w:rPr>
          <w:b/>
        </w:rPr>
        <w:t>E. 49</w:t>
      </w:r>
    </w:p>
    <w:p>
      <w:r>
        <w:t>Les requérants contestent cette thèse.</w:t>
      </w:r>
    </w:p>
    <w:p>
      <w:r>
        <w:rPr>
          <w:b/>
        </w:rPr>
        <w:t>E. 50</w:t>
      </w:r>
    </w:p>
    <w:p>
      <w:r>
        <w:t>La Cour note que l’objet du présent grief ne porte pas sur le manque à gagner consécutif à la cessation des activités commerciales sur certains des terrains en cause. Par le biais de leur demande devant les juridictions helléniques à se voir verser une « indemnité spéciale », les requérants ont sollicité leur indemnisation pour la dévalorisation du restant de leurs terrains en raison de l’élargissement de la route nationale et de l’absence d’accès direct à celle-ci. En d’autres termes, les requérants ne se plaignent pas en l’espèce du refus de l’Etat de leur verser une « créance », intérêt patrimonial qui, selon l’article 1 du Protocole n o 1, doit être suffisamment établi pour être exigible (voir notamment Raffineries grecques Stran et Stratis Andreadis c. Grèce , arrêt du 9 décembre 1994, série A n o 301-B, p. 84, § 59). Leur grief a trait aux limitations prétendument apportées à la jouissance d’un « bien existant », à savoir l’exploitation du restant des terrains expropriés, ce qui aurait affecté la valeur vénale de ceux-ci. Sur ce point, la Cour note que les parties conviennent que les requérants restent toujours propriétaires de la partie non expropriée de leurs terrains. En conséquence, leur grief se rapporte à un « bien » au sens de l’article 1 du Protocole n o 1. Il convient donc de rejeter l ’exception d’irrecevabilité pour incompatibilité ratione materiae soulevée par le Gouvernement. 51. La Cour constate par ailleurs que ce grief n’est pas manifestement mal fondé au sens de l’article 35 § 3 de la Convention. Elle relève en outre qu’il ne se heurte à aucun autre motif d’irrecevabilité. Il convient donc de le déclarer recevable. 2. Sur le fond 52. Le Gouvernement affirme que l’absence d’accès direct à l’autoroute n’est pas une conséquence de l’expropriation mais de la modification légale de la part de l’Etat du réseau routier, dicté par des raisons objectives et par la nécessité de servir l’intérêt général. De surcroît, le Gouvernement note que les requérants ont toujours accès à la route secondaire et, par conséquent, le restant de leurs propriétés n’est pas coupé de l’autoroute. En outre, le Gouvernement relève que la cour d’appel de Thessalonique a versé une indemnisation à certains des requérants pour les parties non expropriés de leurs terrains. En particulier, la juridiction compétente a pris en compte divers éléments hormis la nature de l’ouvrage public. S’agissant des terrains sur lesquels des bâtiments n’avaient pas été construits, le Gouvernement affirme que la juridiction interne a tenu compte de la superficie qui restait non expropriée, l’emplacement du terrain et la possibilité de son exploitation future aux fins d’agriculture ou de construction. S’agissant des terrains comportant des bâtiments, le Gouvernement note que la cour d’appel a pris en compte la nature de l’activité commerciale y exercée et la manière dont l’expropriation éventuellement l’affectait. 53. Les requérants rétorquent que la nature de l’ouvrage à construire doit être prise en compte dans le calcul de l’indemnité globale en raison de l’expropriation. Ils estiment que tant l’acte d’expropriation que sa finalité, à savoir la construction d’un ouvrage d’utilité publique, sont toujours étroitement liés. De surcroît, les requérants allèguent que même la route secondaire sur laquelle donne dorénavant le restant de leurs terrains n’est pas utilisable en raison du fait que tous les tronçons à construire ne sont pas encore achevés. Pour les requérants, il va de soi qu’aucune personne ne peut pour le moment emprunter la route secondaire, puisqu’après avoir parcouru une certaine distance, le véhicule tomberait sur une impasse. 54. La Cour relève qu’en l’espèce, il n’y pas eu expropriation des parties des terrains dont les requérants allèguent la dépréciation. Il est cependant clair que l’élargissement d’une autoroute entraînant l’absence d’accès direct à celle-ci des parties non expropriées des terrains en cause, apporte une limitation à la libre disposition de leur droit d’usage, limitation qui constitue une ingérence dans la jouissance des droits que les requérants tirent de leur qualité de propriétaires. Dès lors, suivant sa jurisprudence en la matière (voir, notamment, James et autres c. Royaume-Uni , arrêt du 21 février 1986, série A n o 98-B, pp. 29-30, § 37), la Cour estime que le second alinéa de l’article 1 du Protocole n o 1 joue en l’espèce. Elle examinera donc le grief sous cet angle. 55. Selon une jurisprudence bien établie, le second alinéa de l’article 1 du Protocole n o 1 doit se lire à la lumière du principe consacré par la première phrase de l’article. En conséquence, une ingérence doit ménager un « juste équilibre » entre les impératifs de l’intérêt général et ceux de la sauvegarde des droits fondamentaux de l’individu. La recherche de pareil équilibre se reflète dans la structure de l’article 1 du Protocole n o 1 tout entier et, par conséquent, dans celui du second alinéa ; il doit exister un rapport raisonnable de proportionnalité entre les moyens employés et le but visé. En contrôlant le respect de cette exigence, la Cour reconnaît à l’Etat une grande marge d’appréciation tant pour choisir les modalités de mise en œuvre que pour juger si leurs conséquences se trouvent légitimées, dans l’intérêt général, par le souci d’atteindre l’objectif de la loi en cause ( Chassagnou et autres c. France [GC], n os 25088/94, 28331/95 et 28443/95, § 75, CEDH 1999–III). De plus, en ce qui concerne des domaines tels que l’aménagement du territoire, la Cour respecte l’appréciation portée à cet égard par le législateur, sauf si elle est manifestement dépourvue de base raisonnable (voir, mutatis mutandis , Immobiliare Saffi c. Italie [GC], n o 22774/93, § 49, CEDH 1999–V). 56. La Cour note qu’il est incontestable, dans la présente affaire, que la nature de l’ouvrage a directement contribué à une dépréciation des parties non expropriées. En effet, la réalisation de l’ouvrage public a entraîné la perte pour les parties en cause de l’avantage d’un accès direct à la route nationale. De ce fait, les terrains sur lesquels les requérants avaient fait construire des immeubles utilisés à des fins commerciales ont subi une baisse de leur valeur en raison de la perte de clientèle des entreprises et de la chute consécutive des profits. La Cour ne perd pas de vue sur ce point que bien que la cour d’appel de Thessalonique eût alloué une indemnité pour les parties non expropriées des terrains en raison de leur scission, ladite juridiction a explicitement refusé d’indemniser les requérants pour la perte de clientèle et la baisse de leurs revenus. En outre, s’agissant des terrains qui ne comportaient pas d’immeubles, la Cour considère que la nature de l’ouvrage a aussi contribué à leur dépréciation. Certes, cette perte de valeur n’était pas égale à celle des terrains occupés par des entreprises. Il n’en reste pas moins que la valeur commerciale d’un terrain ayant un accès direct à la route nationale ne peut être identique à celle du même terrain bordant la route secondaire. Par conséquent, il est indéniable que pour certains des requérants l’exploitation de cette partie des parcelles, déjà inconstructible en raison de l’expropriation, s’est trouvée sérieusement compromise en raison de l’élargissement de la route nationale (voir Ouzounoglou c. Grèce , n o 32730/03, § 30, 24 novembre 2005 ; Athanasiou et autres c. Grèce , n o 2531/02, § 25, 9 février 2006). 57. Au vu de ce qui précède, la Cour considère qu’en refusant d’indemniser les requérants pour la dépréciation de la partie non expropriée de leurs terrains en raison de la nature de l’ouvrage, les juridictions internes ont rompu le juste équilibre devant régner entre la sauvegarde des droits individuels et les exigences de l’intérêt général. A cet égard, la Cour prend note du récent revirement de la jurisprudence en la matière de la Cour de cassation dans une affaire similaire (voir paragraphe 20 ci-dessus). Partant, il y a eu violation de l’article 1 du Protocole n o 1. III. SUR L’APPLICATION DE L’ARTICLE 41 DE LA CONVENTION 58.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59. Les requérants réclament au titre du dommage matériel une somme correspondant à 50 % de la valeur des parties non expropriées des terrains en cause. Ils ajoutent que la Cour devrait prendre comme base pour le calcul de cette somme, les montants unitaires définitifs du mètre carré pour les indemnités d’expropriation fixés pour chaque terrain par l’arrêt n o 1924/2002 de la cour d’appel de Thessalonique. Lesdits montants sont repris dans leurs observations devant la Cour. 60. Le Gouvernement soutient que les requérants n’ont pas présenté leur demande de satisfaction équitable selon les conditions fixées par l’article 60 § 2 du règlement de la Cour. De ce fait, le Gouvernement estime qu’il n’y a pas lieu de leur octroyer un montant au titre de l’article 41 de la Convention. A titre alternatif, le Gouvernement affirme que le constat de violation constituerait en soi une satisfaction équitable suffisante. 61. La Cour estime que la question de l’application de l’article 41 ne se trouve pas en état, de sorte qu’il échet de la réserver en tenant compte de l’éventualité d’un accord entre l’Etat défendeur et les intéressés (article 75 § 1 du règlement).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