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27784/04 vom 7. Februar 2008</w:t>
      </w:r>
    </w:p>
    <w:p>
      <w:r>
        <w:t>Ecthr Chamber, 2008-02-07, FR</w:t>
      </w:r>
    </w:p>
    <w:p>
      <w:r>
        <w:rPr>
          <w:b/>
        </w:rPr>
        <w:t xml:space="preserve">Quelle: </w:t>
      </w:r>
      <w:r>
        <w:t>https://mcp.opencaselaw.ch/entscheid/ecthr_chamber_27784_04</w:t>
      </w:r>
    </w:p>
    <w:p>
      <w:r>
        <w:t>FR: ECTHR_CHAMBER 27784/04 du 7 février 2008</w:t>
      </w:r>
    </w:p>
    <w:p>
      <w:r>
        <w:t>IT: ECTHR_CHAMBER 27784/04 del 7 febbraio 2008</w:t>
      </w:r>
    </w:p>
    <w:p>
      <w:pPr>
        <w:pStyle w:val="Heading2"/>
      </w:pPr>
      <w:r>
        <w:t>Regeste</w:t>
      </w:r>
    </w:p>
    <w:p>
      <w:r>
        <w:t>Violation de l'article 1 du Protocole n° 1 - Protection de la propriété; Violation: P1-1</w:t>
      </w:r>
    </w:p>
    <w:p>
      <w:pPr>
        <w:pStyle w:val="Heading2"/>
      </w:pPr>
      <w:r>
        <w:t>Erwägungen</w:t>
      </w:r>
    </w:p>
    <w:p>
      <w:r>
        <w:rPr>
          <w:b/>
        </w:rPr>
        <w:t>E. 1</w:t>
      </w:r>
    </w:p>
    <w:p>
      <w:r>
        <w:t>15. La requérante dénonce une violation de son droit au respect de ses biens, du fait de l'annulation de l'arrêt définitif du 23 avril 2003 par la Haute Cour de cassation et de justice à la suite d'un recours en annulation formé par le procureur général, et invoque l'article 1 du Protocole n o 1,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 A. Sur la recevabilité 16. Le Gouvernement soutient que la requérante ne disposait pas d'un « bien » au sens de la jurisprudence de la Cour ( Kopecký c. Slovaquie [GC], n o 44912/98, § 35, 28 septembre 2004 et Broniowski c. Pologne [GC], n o 31443/96, § 129, 22 juin 2004). Il fait valoir que l'arrêt du 16 décembre 2003, en accueillant le recours en annulation, ne l'a pas privée de son bien, car il a précisé, d'une part, que l'infrastructure ferroviaire, y compris le terrain litigieux de 35,45 m</w:t>
      </w:r>
    </w:p>
    <w:p>
      <w:r>
        <w:rPr>
          <w:b/>
        </w:rPr>
        <w:t>E. 2</w:t>
      </w:r>
    </w:p>
    <w:p>
      <w:r>
        <w:t>qui a fait l'objet du transfert de propriété entre la société P. et la requérante. Du surcroit, le Gouvernement estime que dans le cas d'espèce est applicable la jurisprudence de la Cour concernant l'interprétation et l'application du droit interne par les tribunaux internes, en l'absence de toute apparence d'arbitraire ( García Ruiz c. Espagne [GC], n o 30544/96, § 28, 21 janvier 1999, Kopp c. Suisse , n o 23224/94, § 59, 25 mars 1998 et Kopecký , précité, § 56). 17. La requérante s'oppose aux arguments du Gouvernement. Elle argue qu'elle avait un « bien » reconnu par l'arrêt du 23 avril 2003, dont elle a perdu la possession en faveur de l'État. 18. La Cour rappelle qu'un requérant ne peut alléguer une violation de l'article 1 du Protocole n o 1 que dans la mesure où les décisions qu'il incrimine se rapportaient à ses « biens », au sens de cette disposition. Elle relève aussi que, d'après la jurisprudence constante des organes de la Convention, la notion de « biens » peut recouvrir tant des « biens actuels » que des valeurs patrimoniales, y compris des créances, en vertu desquelles le requérant peut prétendre avoir au moins une « espérance légitime » d'obtenir la jouissance effective d'un droit de propriété ( Kopecký , précité, § 35). 19. La Cour observe que le droit de propriété de la requérante sur le bien en litige avait été établi par un arrêt définitif du 23 avril 2003, rendu par la cour d'appel de Ploieşti en faveur de l'intéressée. Elle relève que le droit ainsi reconnu n'était pas révocable (voir, à contrario , Blücher c. République Tchèque (déc.), n o 58580/00, 4 août 2004). La requérante était donc sans conteste titulaire d'un « bien » au sens de l'article 1 du Protocole n o 1 (voir Brumărescu c. Roumanie [GC], n o 28342/95, § 70, 28 octobre 1999). 20. Par ailleurs, la Cour constate que ce grief n'est pas manifestement mal fondé au sens de l'article 35 § 3 de la Convention. Elle relève en outre qu'il ne se heurte à aucun autre motif d'irrecevabilité. Il convient donc de le déclarer recevable. B. Sur le fond 21. Le Gouvernement ne conteste pas l'existence d'une ingérence dans le droit de la requérante au respect de ses biens. Il considère que l'ingérence était justifiée au regard de l'article 1 du Protocole n o 1, dès lors qu'elle était prévue par la loi à l'époque du procès, poursuivait un but légitime, à savoir la correcte application de la loi, et était proportionnée, compte tenu de la surface très réduite du terrain en litige et du fait que celui-ci était grevé de constructions faisant partie de l'infrastructure ferroviaire. 22. La requérante estime que sa privation de propriété n'avait pas une base légale et était disproportionnée, l'arrêt de la Haute Cour de cassation et de justice représentant une expropriation sans compensation. Elle fait valoir également que le transfert du bien en cause de son patrimoine dans celui de l'État lui a imposé une charge exorbitante, faute d'une décision administrative prévoyant que la parcelle en question appartient au domaine public et que ce transfert ne pouvait se faire sans une indemnisation appropriée. 23. La Cour rappelle que par l'arrêt du 23 avril 2003 de la cour d'appel de Ploieşti confirmant en dernier ressort le jugement du 30 avril 2002 du tribunal de première instance de Ploieşti, la requérante s'est vu reconnaître un droit de propriété sur le terrain litigieux. Elle considère que l'annulation par la Haute Cour de cassation et de justice de l'arrêt définitif susmentionné a eu pour effet de priver la requérante de son bien, au sens de la seconde phrase du premier alinéa de l'article 1 du Protocole n o 1 (voir, mutatis mutandis , SC Maşinexportimport Industrial Group SA c. Roumanie , n o 22687/03, § 44, 1 décembre 2005). 24. Une privation de propriété relevant de la deuxième norme peut seulement se justifier si l'on démontre notamment qu'elle est intervenue pour cause d'utilité publique et dans les conditions prévues par la loi. De surcroît, toute ingérence dans la jouissance de la propriété doit répondre au critère de proportionnalité ( Brumărescu , précité, §§ 73-74). 25. A supposer même que l'ingérence en cause soit intervenue dans les conditions prévues par la loi, à savoir les dispositions du code de procédure civile régissant le recours en annulation, et qu'elle ait servi une cause d'utilité publique, la Cour considère qu'en l'espèce, comme dans les autres affaires similaires à la présente dont elle a été amené à connaître, le juste équilibre a été rompu et que la requérante a supporté une charge spéciale et exorbitante par sa privation du bien qui lui avait été reconnu par l'arrêt définitif du 23 avril 2003, sans qu'il y ait des motifs substantiels et impérieux. La Cour observe que le Gouvernement invoque une erreur de droit des tribunaux ordinaires pour justifier l'ingérence dans le droit au respect des biens de la requérante. A cet égard, elle estime que le fait que le procureur général, dont l'avis a été confirmé par l'arrêt de la Haute Cour de cassation et de justice, ait eu un point de vue différent de celui adopté par la cour d'appel de Ploieşti à l'issue d'une procédure contradictoire et après l'épuisement des voies de recours ordinaires, ne saurait justifier la privation d'un bien acquis en toute légalité à la suite d'un litige civil définitivement tranché (voir, mutatis mutandis , SC Maşinexportimport Industrial Group SA , précité, § 46). 26. Partant, il y a eu violation de l'article 1 du Protocole n o 1. II. SUR L'APPLICATION DE L'ARTICLE 41 DE LA CONVENTION 27.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28. Sans fournir des détails, la requérante réclame une satisfaction équitable pour l'ingérence subie. 29. Le Gouvernement fait valoir que la requérante a demandé de manière générale l'octroi d'une satisfaction équitable, sans faire expressément des demandes au titre du préjudice matériel ou du préjudice moral. En outre, il considère qu'un éventuel arrêt de condamnation pourrait constituer, par lui-même, une réparation satisfaisante du préjudice moral subi par la requérante. 30. La Cour relève qu'aux termes de l'article 60 de son règlement, elle peut rejeter tout ou partie d'une demande de satisfaction équitable si le requérant n'a pas formulé une demande spécifique a cet effet et s'il n'a pas soumis ses prétentions, chiffrées et ventilées par rubrique et accompagnées des justificatifs pertinents, dans le délai qui lui a été imparti pour la présentation de ses observations sur le fond. Avec le Gouvernement, la Cour observe que la requérante n'a pas chiffré sa demande. 31. Compte tenu du fait que la requérante n'a pas fourni d'éléments permettant d'évaluer un éventuel préjudice matériel, la Cour considère qu'il n'y a pas lieu de lui octroyer une somme à ce titre. En revanche, elle estime que la requérante a subi un tort moral certain. Statuant en équité, elle lui accorde 2 000 EUR à ce titre. B. Frais et dépens 32. La requérante ne réclame pas le remboursement des frais et dépens encourus devant les juridictions internes. 33. Selon la jurisprudence de la Cour, un requérant ne peut obtenir le remboursement de ses frais et dépens que dans la mesure où il l'a demandé. Dès lors, en l'espèce, la Cour n'octroie à la requérante aucune somme à ce titre. C. Intérêts moratoires 34.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