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27295/95 vom 30. Juli 1998</w:t>
      </w:r>
    </w:p>
    <w:p>
      <w:r>
        <w:t>Ecthr Chamber, 1998-07-30, FR</w:t>
      </w:r>
    </w:p>
    <w:p>
      <w:r>
        <w:rPr>
          <w:b/>
        </w:rPr>
        <w:t xml:space="preserve">Quelle: </w:t>
      </w:r>
      <w:r>
        <w:t>https://mcp.opencaselaw.ch/entscheid/ecthr_chamber_27295_95</w:t>
      </w:r>
    </w:p>
    <w:p>
      <w:r>
        <w:t>FR: ECTHR_CHAMBER 27295/95 du 30 juillet 1998</w:t>
      </w:r>
    </w:p>
    <w:p>
      <w:r>
        <w:t>IT: ECTHR_CHAMBER 27295/95 del 30 luglio 1998</w:t>
      </w:r>
    </w:p>
    <w:p>
      <w:pPr>
        <w:pStyle w:val="Heading2"/>
      </w:pPr>
      <w:r>
        <w:t>Regeste</w:t>
      </w:r>
    </w:p>
    <w:p>
      <w:r>
        <w:t>Radiation du rôle (règlement amiable)</w:t>
      </w:r>
    </w:p>
    <w:p>
      <w:pPr>
        <w:pStyle w:val="Heading2"/>
      </w:pPr>
      <w:r>
        <w:t>Erwägungen</w:t>
      </w:r>
    </w:p>
    <w:p>
      <w:r>
        <w:rPr>
          <w:b/>
        </w:rPr>
        <w:t>E. 37</w:t>
      </w:r>
    </w:p>
    <w:p>
      <w:r>
        <w:t>Le 6 mars 1998, la Cour a reçu de l’agent du Gouvernement communication d’un texte ainsi libellé (paragraphe 10 ci-dessus) : « Aux termes de l'article [51] § 2 du règlement [B] de la Cour, j'ai l'honneur de porter à votre connaissance que le gouvernement portugais et l'[association] requérant[e] sont parvenus à un accord sur le règlement amiable du litige moyennant le paiement de la somme de 2 500 000 PTE (deux millions cinq cent mille escudos). L’[association] requérant[e] communiquera également à la Cour les termes de la solution amiable obtenue. Ainsi, le gouvernement portugais sollicite que l’affaire, en conformité avec les dispositions de l’article [51] § 2 du règlement [B] de la Cour, soit rayée du rôle. » Par une lettre reçue le 11 mai 1998, l’avocat de l’association requérante indiquait (paragraphe 12 ci-dessus) : « Le club de football União de Coimbra informe la chambre que, conformément à l'article [51] § 2 du règlement [B] de la Cour, il est parvenu à un accord avec l'Etat portugais quant au litige qui les opposait. En conséquence, il demande que l'affaire soit rayée du rôle. Aux termes dudit accord, l'Etat portugais s’engage à verser au [club] requérant une somme de 2 500 000 PTE (deux millions cinq cent mille escudos) en réparation des préjudices causés à l'intéressé par la lenteur de la procédure devant les tribunaux. Ledit montant ne couvre pas les éventuelles indemnités que le [club] requérant pourrait demander au titre de la responsabilité civile. » Par une lettre du 18 mai 1998, l’association requérante elle-même a confirmé les termes de l’accord conclu (paragraphe 12 ci-dessus).</w:t>
      </w:r>
    </w:p>
    <w:p>
      <w:r>
        <w:rPr>
          <w:b/>
        </w:rPr>
        <w:t>E. 38</w:t>
      </w:r>
    </w:p>
    <w:p>
      <w:r>
        <w:t>Consulté conformément à l’article 51 § 2 du règlement B, le délégué de la Commission n’a soulevé aucune objection (paragraphe 13 ci-dessus).</w:t>
      </w:r>
    </w:p>
    <w:p>
      <w:r>
        <w:rPr>
          <w:b/>
        </w:rPr>
        <w:t>E. 39</w:t>
      </w:r>
    </w:p>
    <w:p>
      <w:r>
        <w:t>Le 5 juin 1998, le Gouvernement a confirmé le règlement amiable intervenu mais a demandé à l'association requérante de préciser le contenu de la dernière phrase de sa lettre du 11 mai 1998 (paragraphe 14 ci-dessus).</w:t>
      </w:r>
    </w:p>
    <w:p>
      <w:r>
        <w:rPr>
          <w:b/>
        </w:rPr>
        <w:t>E. 40</w:t>
      </w:r>
    </w:p>
    <w:p>
      <w:r>
        <w:t>Dans sa lettre du 15 juin 1998, l'association requérante s’est ainsi exprimée : « a) la Cour européenne des Droits de l’Homme est appelée à déterminer si les tribunaux portugais ont statué sur la cause de l'association requérante dans un délai excessivement long ; b) si elle statue en faveur de l'association requérante, la Cour doit dire dans quelle mesure la durée excessive de la procédure interne a causé un préjudice à ladite association ; c) la question à trancher par la Cour ne se résume pas simplement à l’appréciation du caractère excessif de la durée de la procédure suivie au Portugal, mais elle a également une incidence sur la décision rendue au fond, c’est-à-dire sur le fait que la juridiction interne saisie a reconnu le bien-fondé de la prétention de l'association requérante ; d) il est clair que cette décision ne fait pas partie du litige dont la Cour européenne se trouve saisie ; e) toutefois, il y a également des dommages qui trouvent leur origine dans la décision qui fut contestée au niveau interne, dommages dont, sauf erreur de ma part, la Cour européenne ne peut davantage connaître ; f) l'association requérante a donc subi des dommages de deux types : les premiers procèdent de la durée excessive de la procédure suivie au Portugal, les seconds résultent du fait qu’a été prise par le gouvernement portugais une mesure préjudiciable aux intérêts de ladite association ; g) pour ce qui est de la durée excessive de la procédure interne, l'association requérante a saisi la Cour européenne des Droits de l’Homme ; h) pour ce qui est de la décision du gouvernement, la juridiction interne saisie a donné raison à l'association requérante ; c’est donc au niveau interne que l’on pourra déterminer si des dommages ont été causés et, le cas échéant, les quantifier ; i) il en résulte que l’accord auquel sont parvenus l'association requérante et l’Etat portugais ne concerne que le litige soumis à l’appréciation de la Cour ; j) il ne saurait du reste en être autrement, puisque la détermination des responsabilités résultant de la mesure contestée relève de la compétence des tribunaux portugais. »</w:t>
      </w:r>
    </w:p>
    <w:p>
      <w:r>
        <w:rPr>
          <w:b/>
        </w:rPr>
        <w:t>E. 41</w:t>
      </w:r>
    </w:p>
    <w:p>
      <w:r>
        <w:t>Le 18 juin 1998, le Gouvernement a confirmé définitivement les termes du règlement amiable en cause dans une lettre ainsi rédigée (paragraphe 14 ci-dessus) : « Les éclaircissements du requérant contenus dans [sa lettre du 15 juin 1998], pour ce qui est de l'accord conclu (affaire concernant [la durée de la procédure devant les juridictions administratives portugaises] suscitée devant le Tribunal européen), coïncident avec l'interprétation des termes de l'accord proposé par le requérant et que le Gouvernement a accepté. »</w:t>
      </w:r>
    </w:p>
    <w:p>
      <w:r>
        <w:rPr>
          <w:b/>
        </w:rPr>
        <w:t>E. 42</w:t>
      </w:r>
    </w:p>
    <w:p>
      <w:r>
        <w:t>La Cour prend acte du règlement amiable auquel sont arrivés le Gouvernement et l’association requérante. Elle pourrait néanmoins, eu égard aux responsabilités lui incombant aux termes de l’article 19 de la Convention, décider de poursuivre l’examen de l’affaire si un motif d’ordre public lui paraissait l’exiger (article 51 §§ 2 et 4 du règlement B). Un tel motif n'existe pas en l'espèce. A ce sujet, la Cour rappelle que plusieurs litiges antérieurs l’ont conduite à contrôler le caractère « raisonnable » de la durée de procédures menées au Portugal devant des juridictions administratives (arrêts Baraona du 8 juillet 1987, série A n° 122, et Neves e Silva du 27 avril 1989, série A n°153-A). Par là même, elle a précisé la nature et l’étendue des obligations assumées en la matière. Partant, il échet de rayer l’affaire du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