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25700/05 vom 18. Oktober 2011</w:t>
      </w:r>
    </w:p>
    <w:p>
      <w:r>
        <w:t>Ecthr Chamber, 2011-10-18, FR</w:t>
      </w:r>
    </w:p>
    <w:p>
      <w:r>
        <w:rPr>
          <w:b/>
        </w:rPr>
        <w:t xml:space="preserve">Quelle: </w:t>
      </w:r>
      <w:r>
        <w:t>https://mcp.opencaselaw.ch/entscheid/ecthr_chamber_25700_05</w:t>
      </w:r>
    </w:p>
    <w:p>
      <w:r>
        <w:t>FR: ECTHR_CHAMBER 25700/05 du 18 octobre 2011</w:t>
      </w:r>
    </w:p>
    <w:p>
      <w:r>
        <w:t>IT: ECTHR_CHAMBER 25700/05 del 18 ottobre 2011</w:t>
      </w:r>
    </w:p>
    <w:p>
      <w:pPr>
        <w:pStyle w:val="Heading2"/>
      </w:pPr>
      <w:r>
        <w:t>Erwägungen</w:t>
      </w:r>
    </w:p>
    <w:p>
      <w:r>
        <w:rPr>
          <w:b/>
        </w:rPr>
        <w:t>E. 6</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w:t>
      </w:r>
    </w:p>
    <w:p>
      <w:r>
        <w:rPr>
          <w:b/>
        </w:rPr>
        <w:t>E. 7</w:t>
      </w:r>
    </w:p>
    <w:p>
      <w:r>
        <w:t>Pour le préjudice matériel, les requérants réclament 1 081 176,49 EUR, somme qui correspond selon eux à la valeur réelle de leur bien à l’heure actuelle. Ils fournissent à cet égard deux rapports d’expertise, établis par le tribunal de grande instance de Seferihisar le 6 octobre 2010 et le 22 novembre 2010, qui évaluent le bien en question à 246 063,63 livres turques (TRL) en avril 2000, date à laquelle ils ont été effectivement privés de leur bien. Ils présentent un autre rapport d’expertise, établi à une date non précisée par un expert indépendant inscrit à l’Ordre des comptables et des experts-comptables, qui conclut que le montant de 246 063,63 TRL fixé en avril 2000 équivaut à 2 140 711,64 TRL en novembre 2010. Selon les intéressés, ce dernier montant correspond à 1 081 176,49 EUR.</w:t>
      </w:r>
    </w:p>
    <w:p>
      <w:r>
        <w:rPr>
          <w:b/>
        </w:rPr>
        <w:t>E. 8</w:t>
      </w:r>
    </w:p>
    <w:p>
      <w:r>
        <w:t>Le Gouvernement soutient d’abord que les requérants n’ont pas épuisé les voies de recours internes, précisant qu’ils avaient la possibilité de demander une indemnité devant les juridictions internes en vertu de l’article 1007 du code civil. Ensuite, il affirme que le terrain litigieux fait partie des zones forestières et que, par conséquent, il n’est pas possible d’en déterminer la valeur. Cependant, compte tenu de la valeur des terrains voisins, le prix du mètre carré du bien litigieux est selon lui de 70 TRL (soit environ 35 EUR).</w:t>
      </w:r>
    </w:p>
    <w:p>
      <w:r>
        <w:rPr>
          <w:b/>
        </w:rPr>
        <w:t>E. 9</w:t>
      </w:r>
    </w:p>
    <w:p>
      <w:r>
        <w:t>En ce qui concerne la possibilité pour les requérants d’obtenir une indemnité au niveau interne sur le fondement de l’article 1007 du code civil, la Cour, rappelant le constat auquel elle est parvenue dans son arrêt au principal (paragraphes 18 et 22 de celui-ci), note que le Gouvernement ne démontre pas dans quelle mesure cette perspective a déjà pu ou pourrait se réaliser.</w:t>
      </w:r>
    </w:p>
    <w:p>
      <w:r>
        <w:rPr>
          <w:b/>
        </w:rPr>
        <w:t>E. 10</w:t>
      </w:r>
    </w:p>
    <w:p>
      <w:r>
        <w:t>Pour les principes généraux en la matière, elle se réfère à sa jurisprudence bien établie ( Turgut et autres c. Turquie (satisfaction équitable), n o 1411/03, §§ 12-16, 13 octobre 2009).</w:t>
      </w:r>
    </w:p>
    <w:p>
      <w:r>
        <w:rPr>
          <w:b/>
        </w:rPr>
        <w:t>E. 11</w:t>
      </w:r>
    </w:p>
    <w:p>
      <w:r>
        <w:t>Compte tenu de ces éléments, la Cour, prenant également en considération les caractéristiques soulignées par les parties et la valeur du bien, juge raisonnable d’accorder aux requérants la somme de 160 000 EUR pour dommage matériel. Cette somme équivaut à environ 246 063,63 TRL en date du 15 mai 2003, date du jugement annulant le titre de propriété des requérants (voir l’arrêt principal, paragraphe 14), montant assorti des intérêts moratoires ayant couru depuis cette date. B. Dommage moral</w:t>
      </w:r>
    </w:p>
    <w:p>
      <w:r>
        <w:rPr>
          <w:b/>
        </w:rPr>
        <w:t>E. 12</w:t>
      </w:r>
    </w:p>
    <w:p>
      <w:r>
        <w:t>Les requérants demandent également 300 000 EUR pour dommage moral.</w:t>
      </w:r>
    </w:p>
    <w:p>
      <w:r>
        <w:rPr>
          <w:b/>
        </w:rPr>
        <w:t>E. 13</w:t>
      </w:r>
    </w:p>
    <w:p>
      <w:r>
        <w:t>Le Gouvernement conteste cette prétention et invite la Cour à la rejeter.</w:t>
      </w:r>
    </w:p>
    <w:p>
      <w:r>
        <w:rPr>
          <w:b/>
        </w:rPr>
        <w:t>E. 14</w:t>
      </w:r>
    </w:p>
    <w:p>
      <w:r>
        <w:t>La Cour estime que les requérants ont subi un préjudice moral du fait notamment du sentiment d’impuissance et de frustration provoqué par la privation du bien. Dans ces circonstances, eu égard à l’ensemble des éléments se trouvant en sa possession, la Cour, statuant en équité comme le veut l’article 41 de la Convention, alloue 3 000 EUR aux requérants pour dommage moral. C. Frais et dépens</w:t>
      </w:r>
    </w:p>
    <w:p>
      <w:r>
        <w:rPr>
          <w:b/>
        </w:rPr>
        <w:t>E. 15</w:t>
      </w:r>
    </w:p>
    <w:p>
      <w:r>
        <w:t>Au titre des frais et dépens, les requérants réclament au total 30 624,52 EUR, prétention qu’ils ventilent comme suit : 30 000 EUR pour les frais et dépens engagés devant les juridictions internes et devant la Cour et 624,52 EUR pour les frais de traduction et de transport. Ils fournissent à cet égard des copies de factures portant sur des frais de justice, de traduction et de transport.</w:t>
      </w:r>
    </w:p>
    <w:p>
      <w:r>
        <w:rPr>
          <w:b/>
        </w:rPr>
        <w:t>E. 16</w:t>
      </w:r>
    </w:p>
    <w:p>
      <w:r>
        <w:t>Le Gouvernement conteste cette demande et prie la Cour de la rejeter.</w:t>
      </w:r>
    </w:p>
    <w:p>
      <w:r>
        <w:rPr>
          <w:b/>
        </w:rPr>
        <w:t>E. 17</w:t>
      </w:r>
    </w:p>
    <w:p>
      <w:r>
        <w:t>Compte tenu des principes qui se dégagent de sa jurisprudence et des documents dont elle dispose, la Cour estime raisonnable la somme de 2 000 EUR et l’accorde aux requérants au titre des frais et dépens. D. Intérêts moratoires</w:t>
      </w:r>
    </w:p>
    <w:p>
      <w:r>
        <w:rPr>
          <w:b/>
        </w:rPr>
        <w:t>E. 18</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