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25230/04 vom 14. Februar 2008</w:t>
      </w:r>
    </w:p>
    <w:p>
      <w:r>
        <w:t>Ecthr Chamber, 2008-02-14, FR</w:t>
      </w:r>
    </w:p>
    <w:p>
      <w:r>
        <w:rPr>
          <w:b/>
        </w:rPr>
        <w:t xml:space="preserve">Quelle: </w:t>
      </w:r>
      <w:r>
        <w:t>https://mcp.opencaselaw.ch/entscheid/ecthr_chamber_25230_04</w:t>
      </w:r>
    </w:p>
    <w:p>
      <w:r>
        <w:t>FR: ECTHR_CHAMBER 25230/04 du 14 février 2008</w:t>
      </w:r>
    </w:p>
    <w:p>
      <w:r>
        <w:t>IT: ECTHR_CHAMBER 25230/04 del 14 febbraio 2008</w:t>
      </w:r>
    </w:p>
    <w:p>
      <w:pPr>
        <w:pStyle w:val="Heading2"/>
      </w:pPr>
      <w:r>
        <w:t>Regeste</w:t>
      </w:r>
    </w:p>
    <w:p>
      <w:r>
        <w:t>Violation de l'article 1 du Protocole n° 1 - Protection de la propriété; Violation: P1-1</w:t>
      </w:r>
    </w:p>
    <w:p>
      <w:pPr>
        <w:pStyle w:val="Heading2"/>
      </w:pPr>
      <w:r>
        <w:t>Erwägungen</w:t>
      </w:r>
    </w:p>
    <w:p>
      <w:r>
        <w:rPr>
          <w:b/>
        </w:rPr>
        <w:t>E. 1</w:t>
      </w:r>
    </w:p>
    <w:p>
      <w:r>
        <w:t>17. Invoquant l’article 1 du Protocole n o 1, le requérant se plaint d’avoir subi une atteinte à son droit au respect de son bien, en raison des décisions des tribunaux internes qui, tout en constatant l’illégalité de la nationalisation et l’absence de titre valable de l’État sur l’immeuble sis au n o 6, rue Croitorilor, à Cluj-Napoca, ont validé la vente par l’État de l’appartement n o</w:t>
      </w:r>
    </w:p>
    <w:p>
      <w:r>
        <w:rPr>
          <w:b/>
        </w:rPr>
        <w:t>E. 3</w:t>
      </w:r>
    </w:p>
    <w:p>
      <w:r>
        <w:t>de la maison sise au n o 6, rue Croitorilor, à Cluj-Napoca et le terrain afférent, telle qu’établie par une expertise technique immobilière. Le requérant demande également 10 000 euros (EUR) pour les souffrances subies en raison de la privation de propriété. 32. En ce qui concerne le préjudice matériel, le Gouvernement considère que la valeur vénale de l’appartement en cause est de 43 548 EUR, et il soumet un rapport d’expertise (avis) en ce sens. S’agissant du dommage moral, le Gouvernement estime en premier lieu qu’il n’y a pas de lien de causalité entre le dommage moral allégué et la prétendue violation de la Convention. Il argue également qu’un éventuel dommage moral serait suffisamment compensé par un constat de violation. A titre subsidiaire, le Gouvernement considère que les prétentions du requérant sont excessives. 33. La Cour rappelle qu’elle a conclu à la violation de l’article 1 du Protocole n o 1 à la Convention en raison de la vente par l’État de l’appartement du requérant, combinée avec l’absence d’indemnisation. 34. En ce qui concerne le dommage matériel, la Cour décide que le Gouvernement devra verser au requérant une somme correspondant à la valeur actuelle de l’appartement litigieux. A ce sujet, compte tenu des expertises techniques produites par les parties et des informations dont elle dispose sur les prix du marché immobilier local, la Cour estime que la valeur vénale actuelle de l’appartement litigieux est de 51 000 euros (EUR). 35. La Cour considère que les événements en cause ont pu provoquer au requérant des souffrances et un état d’incertitude qui ne peuvent pas être compensés par le constat de violation. Elle estime que la somme de 2 000 euros (EUR) représente une réparation équitable du préjudice moral subi par le requérant. B. Frais et dépens 36. Le requérant demande également 1 500 EUR pour les frais et dépens encourus devant la Cour. Il soumet une quittance attestant le paiement de 5 300 RON à l’avocat le représentant dans la présente procédure. 37. Le Gouvernement fait observer que le requérant n’a pas produit le contrat d’assistance judiciaire conclu avec l’avocat d’où il ressorte que la somme précitée a été versée pour la représentation dans la présente requête. 38. Selon la jurisprudence de la Cour, un requérant ne peut obtenir le remboursement de ses frais et dépens que dans la mesure où se trouvent établis leur réalité, leur nécessité et le caractère raisonnable de leur taux. En l’espèce, compte tenu des éléments en sa possession et des critères susmentionnés, la Cour estime raisonnable la somme de 1 500 EUR pour la procédure devant la Cour et l’accorde au requérant. C. Intérêts moratoires 39. 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