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22978/05 vom 30. Juni 2008</w:t>
      </w:r>
    </w:p>
    <w:p>
      <w:r>
        <w:t>Ecthr Chamber, 2008-06-30, FR</w:t>
      </w:r>
    </w:p>
    <w:p>
      <w:r>
        <w:rPr>
          <w:b/>
        </w:rPr>
        <w:t xml:space="preserve">Quelle: </w:t>
      </w:r>
      <w:r>
        <w:t>https://mcp.opencaselaw.ch/entscheid/ecthr_chamber_22978_05</w:t>
      </w:r>
    </w:p>
    <w:p>
      <w:r>
        <w:t>FR: ECTHR_CHAMBER 22978/05 du 30 juin 2008</w:t>
      </w:r>
    </w:p>
    <w:p>
      <w:r>
        <w:t>IT: ECTHR_CHAMBER 22978/05 del 30 giugno 2008</w:t>
      </w:r>
    </w:p>
    <w:p>
      <w:pPr>
        <w:pStyle w:val="Heading2"/>
      </w:pPr>
      <w:r>
        <w:t>Regeste</w:t>
      </w:r>
    </w:p>
    <w:p>
      <w:r>
        <w:t>Plus victime sous l'angle de l'art. 3;Non-violation de l'art. 6; No violation: 6</w:t>
      </w:r>
    </w:p>
    <w:p>
      <w:pPr>
        <w:pStyle w:val="Heading2"/>
      </w:pPr>
      <w:r>
        <w:t>Erwägungen</w:t>
      </w:r>
    </w:p>
    <w:p>
      <w:r>
        <w:rPr>
          <w:b/>
        </w:rPr>
        <w:t>E. 1</w:t>
      </w:r>
    </w:p>
    <w:p>
      <w:r>
        <w:t>Les thèses défendues par les parties a) Le requérant 61. Selon le requérant, l’inspecteur E. lui a extorqué des aveux le 1 er octobre 2002 en recourant à des méthodes d’interrogatoire, dont des menaces de violences physiques et d’abus sexuels ainsi que des coups, qui devraient être qualifiées de torture. Il aurait aussi été emmené contre son gré à l’endroit où il avait dissimulé le corps de J. et aurait été forcé, notamment par l’effet persistant des menaces de torture et du grand nombre de policiers présents, à révéler lui-même d’autres pièces à conviction. La police l’aurait menacé de vives souffrances à un moment où elle aurait déjà su que J. était décédé. Il aurait donc été contraint de s’incriminer pour passer aux aveux uniquement afin de rendre possibles des poursuites pénales contre lui. b) Le Gouvernement 62. Le Gouvernement concède à regret que l’article 3 de la Convention a été violé pendant l’interrogatoire du requérant conduit par l’inspecteur E. le 1 er octobre 2002. Il souligne que l’intéressé a été menacé seulement de vives souffrances s’il ne révélait pas à la police où se trouvait J. Les menaces auraient été proférées le 1 er octobre 2002 au matin, à un moment où les policiers concernés auraient cru que J. était peut-être toujours en vie mais gravement en danger.</w:t>
      </w:r>
    </w:p>
    <w:p>
      <w:r>
        <w:rPr>
          <w:b/>
        </w:rPr>
        <w:t>E. 2</w:t>
      </w:r>
    </w:p>
    <w:p>
      <w:r>
        <w:t>L’appréciation de la Cour a) Principes généraux 75. La Cour rappelle qu’il appartient au premier chef aux autorités nationales de remédier à toute violation alléguée de la Convention. A cet égard, la question de savoir si un requérant peut se prétendre victime de la violation alléguée se pose à tous les stades de la procédure sur le terrain de la Convention (voir, entre autres, Siliadin c. France , n o 73316/01, § 61, CEDH 2005-VII). En outre, une décision ou une mesure favorable au requérant ne suffit en principe à lui retirer la qualité de « victime » aux fins de l’article 34 de la Convention que si les autorités nationales ont reconnu, explicitement ou en substance, puis réparé la violation de la Convention (voir, entre autres, Eckle c. Allemagne , arrêt du 15 juillet 1982, série A n o 51, p. 30, § 66 ; Dalban c. Roumanie [GC], n o 28114/95, § 44, CEDH 1999-VI ; et Siliadin , précité, § 62). 76. Quant au redressement à offrir à un requérant afin de remédier à la violation d’un droit conventionnel au niveau national, la Cour estime généralement que cela dépend de l’ensemble des circonstances de la cause et en particulier de la nature de la violation de la Convention constatée. Dans les affaires concernant une violation de l’article 3, la Cour a jugé essentiel que l’Etat promulgue des dispositions de droit pénal sanctionnant des pratiques contraires à l’article 3 et les applique concrètement en identifiant et poursuivant les coupables (comparer Egmez , précité, § 65 ; M.C. c. Bulgarie , n o 39272/98, §§ 150, 153, 166, CEDH 2003-XII, et Krastanov , précité, § 48). La Cour a conclu en outre qu’un requérant ne perd pas sa qualité de victime d’une violation de ses droits garantis par la Convention du seul fait qu’un tribunal déclare qu’un élément de preuve obtenu irrégulièrement n’aurait pas dû être admis dans la procédure pénale sans que cela entraîne de conséquences pour les droits du défendeur garantis par la Convention (comparer Heglas c. République tchèque , n o 5935/02, § 52, 1 er mars 2007, pour des allégations de violation des articles 8 et 6 de la Convention). Dans des affaires où la violation de la Convention avait causé au requérant un important préjudice matériel ou moral, la Cour a jugé en outre déterminant pour savoir si un requérant avait ou non perdu la qualité de victime le fait que l’intéressé eût perçu une réparation dont le montant était raisonnable (comparer Busa c. Hongrie , n o 28453/95, décision de la Commission du 15 janvier 1997, à propos d’un grief tiré de l’article 3 concernant un recours excessif à la force de la part de la police ; Murillo Saldias et autres c. Espagne (déc.), n o 76973/01, 28 novembre 2006, concernant un manquement des autorités administratives à leurs obligations positives au regard de l’article 2 ; et Dalban , précité, § 44, à propos d’une condamnation contraire à l’article 10). b) Application de ces principes en l’espèce 77. La Cour déterminera donc, premièrement, si les autorités nationales ont reconnu, explicitement ou en substance, la violation de la Convention. Elle note à cet égard qu’au cours de la procédure pénale dirigée contre le requérant, le tribunal régional de Francfort-sur-le-Main a expressément déclaré, dans sa décision du 9 avril 2003, que non seulement la menace d’infliger une souffrance au requérant afin de lui extorquer une déclaration constituait une méthode d’interrogatoire prohibée par l’article 136a du code de procédure pénale, mais elle méconnaissait aussi l’article 3 de la Convention, qui sous-tend cette disposition du code (paragraphe 22 ci ‑ dessus). De même, se référant au constat d’une violation de l’article 3 auquel était parvenu le tribunal régional, la Cour constitutionnelle fédérale a confirmé que la dignité humaine du requérant et l’interdiction de soumettre des détenus à des mauvais traitements (articles 1 et 104 § 1, seconde phrase, de la Loi fondamentale) n’avaient pas été respectées (paragraphe 38 ci ‑ dessus). A quoi il faut ajouter que, dans son jugement du 20 décembre 2004 reconnaissant coupables d’incitation à la contrainte et de contrainte les policiers responsables des méthodes d’interrogatoire en cause, le tribunal régional de Francfort-sur-le-Main a conclu que ces méthodes ne se justifiaient pas par la nécessité puisqu’elles avaient méconnu la protection absolue de la dignité humaine garantie par l’article 1 de la Loi fondamentale, protection absolue qui est également au cœur de l’article 3 de la Convention (paragraphe 45 ci-dessus). Dans ces conditions, la Cour a la conviction que les tribunaux internes appelés à se prononcer sur cette question ont reconnu de manière explicite et non équivoque que le traitement infligé par E. au requérant lors de l’interrogatoire du 1 er octobre 2002 était contraire à l’article 3 de la Convention. 78. Recherchant, deuxièmement, s’il a suffisamment été remédié au niveau national à cette violation de l’article 3, la Cour observe d’abord que les deux policiers impliqués dans les menaces faites au requérant ont été reconnus coupables de contrainte et d’incitation à la contrainte et ont été sanctionnés par un jugement définitif du tribunal régional de Francfort-sur-le-Main (paragraphe 43 ci-dessus). Eu égard à tous les facteurs pertinents pour la fixation de la peine que le tribunal régional a pris en considération (paragraphe 46 ci-dessus), la Cour considère que la sanction – relativement clémente – infligée aux fonctionnaires de police ne remet pas en cause le fait que la condamnation pénale de ces policiers a accordé un redressement substantiel au requérant. D’ailleurs, cette condamnation a eu des répercussions sur la carrière professionnelle de ces policiers puisqu’ils ont été mutés à des postes qui n’impliquent plus de prendre directement part à l’instruction d’infractions pénales. 79. La Cour relève de surcroît que dans le cadre de la procédure pénale dirigée contre le requérant a été exclu le recours à des méthodes d’enquête contraires à l’article 3. Le tribunal régional a décidé d’emblée au procès que, compte tenu des menaces proférées, les aveux et déclarations que le requérant avait faits d’un bout à l’autre de l’enquête ne pourraient nullement servir de preuves. Selon le tribunal, les autorités de poursuite n’avaient pas informé le requérant au préalable que les déclarations qu’il avait formulées à la suite des menaces ne pourraient être retenues comme preuves (paragraphes 24-26 ci-dessus). La Cour considère que l’irrecevabilité des déclarations formulées sous la menace ou en raison de propos incriminant leur auteur extorqués auparavant représente un moyen effectif de remédier aux inconvénients que l’accusé a eu à subir de ce fait dans la procédure pénale dirigée contre lui. En rétablissant pour l’intéressé le statu quo ante à cet égard, cette exclusion contribue à décourager l’extorsion de déclarations par des méthodes que l’article 3 prohibe. 80. Certes, le requérant n’a à ce jour obtenu le versement d’aucune réparation dans le cadre de l’action en responsabilité administrative qu’il a engagée contre le Land de la Hesse. Cette procédure est toujours pendante. Eu égard à l’ensemble des circonstances de la cause, la Cour estime néanmoins que dans une affaire comme celle-ci, où la violation de l’article 3 réside dans une menace de mauvais traitements (et non dans un mauvais traitement physique effectivement infligé et atteignant le seuil requis pour tomber sous le coup de l’article 3), la poursuite et la condamnation effectives des responsables contribuent d’une manière substantielle à redresser cette violation. Compte tenu en particulier du fait que l’opinion publique approuve largement le traitement auquel le requérant a été soumis, la Cour considère que la condamnation pénale des policiers responsables, condamnation qui reconnaît sans équivoque que le requérant a été victime de mauvais traitements prohibés, représente un moyen substantiel d’offrir une réparation autrement que par le versement d’une somme d’argent. 81. Vu les considérations qui précèdent et eu égard à l’ensemble des circonstances de la cause, la Cour a la conviction que les tribunaux internes ont accordé au requérant une réparation suffisante pour le traitement contraire à l’article 3 qu’il a subi lors de l’interrogatoire mené par E. le 1 er octobre 2002. Elle considère à ce propos que le redressement de bien plus longue portée que sollicitait le requérant, en particulier l’exclusion à son procès d’éléments de preuve obtenus grâce aux aveux qui lui avaient été extorqués sous la menace, ou l’imposition d’une peine plus clémente, se rapporte à la question de savoir si le procès dont l’intéressé a fait l’objet a été équitable ; il y a donc lieu de l’examiner sous l’angle de l’article 6. 82. En conclusion, le requérant ne peut plus se prétendre victime d’une violation de l’article 3. II. SUR LA VIOLATION ALLÉGUÉE DE L’ARTICLE 6 DE LA CONVENTION 83. Le requérant soutient en outre que son droit à un procès équitable a été méconnu notamment du fait que des éléments de preuve obtenus uniquement grâce aux aveux qui lui avaient été extorqués sous la menace ont été utilisés à son procès. Dans ses passages pertinents en l’espèce, l’article 6 dispose : « 1. Toute personne a droit à ce que sa cause soit entendue équitablement (...) par un tribunal (...) (...)</w:t>
      </w:r>
    </w:p>
    <w:p>
      <w:r>
        <w:rPr>
          <w:b/>
        </w:rPr>
        <w:t>E. 3</w:t>
      </w:r>
    </w:p>
    <w:p>
      <w:r>
        <w:t>Tout accusé a droit notamment à : (...) c) se défendre lui-même ou avoir l’assistance d’un défenseur de son choix (...) » A. Sur l’exception préliminaire du Gouvernement 1. Les thèses défendues par les parties a) Le Gouvernement 84. Selon le Gouvernement, le requérant n’a pas épuisé les voies de recours internes en ce qui concerne ses griefs tirés de l’article 6 de la Convention. Premièrement, dans la mesure où l’intéressé allègue que son procès n’a pas revêtu un caractère équitable, les tribunaux pénaux ayant refusé de prononcer le non-lieu pour cause de menaces, le requérant – comme la Cour constitutionnelle fédérale l’aurait expressément dit – n’aurait pas suffisamment étayé son recours constitutionnel. Deuxièmement, le requérant n’aurait pas observé les conditions de l’article 35 § 1 de la Convention en ce qu’il se plaindrait sur le terrain de l’article 6 du refus d’exclure comme preuves les éléments obtenus grâce aux aveux qu’on lui avait extorqués. Comme l’aurait confirmé la Cour constitutionnelle fédérale dans son arrêt, l’intéressé n’aurait pas dûment soulevé devant la Cour fédérale de justice la question d’une contravention, dans le cadre du procès dont il avait fait l’objet, aux règles sur l’administration et l’emploi des preuves recueillies grâce aux aveux qui lui avaient été extorqués (« Fernwirkung »). b) Le requérant 85. Le requérant combat cette thèse. Premièrement, il aurait épuisé les voies de recours internes puisqu’il se serait plaint sur le terrain de l’article 6 du refus de prononcer le non-lieu alors qu’on lui avait extorqué des aveux sous la menace. Il aurait suffisamment étayé son recours devant la Cour constitutionnelle fédérale, où il aurait expliqué en détail et en se référant à des décisions de principe de cette juridiction que le refus du non-lieu avait méconnu ses droits garantis par les articles 1 et 104 de la Loi fondamentale. Deuxièmement, il se serait conformé aux exigences de l’article 35 § 1 de la Convention en ce qui concerne son grief tiré de l’article</w:t>
      </w:r>
    </w:p>
    <w:p>
      <w:r>
        <w:rPr>
          <w:b/>
        </w:rPr>
        <w:t>E. 6</w:t>
      </w:r>
    </w:p>
    <w:p>
      <w:r>
        <w:t>relatif au refus d’exclure comme preuves des éléments obtenus grâce aux aveux qui lui avaient été extorqués (« Fernwirkung »). Il aurait saisi la Cour fédérale de justice de la demande la plus large possible, tendant à l’abandon des poursuites contre lui à cause des aveux qui avaient permis d’obtenir d’autres éléments de preuve. Sa demande aurait comporté une requête plus étroite qui visait du moins à ce que ne fussent pas versés à son procès des éléments obtenus irrégulièrement. La Cour fédérale de justice n’aurait quant à elle nullement motivé le rejet de son pourvoi pour défaut de fondement, de sorte que les véritables raisons de sa décision relèveraient de la pure spéculation. 2. L’appréciation de la Cour 86. La Cour ne juge pas nécessaire de se prononcer sur l’exception préliminaire du Gouvernement, qu’elle joint au fond du grief tiré de l’article 6, car elle estime qu’il n’y a pas eu violation de cette disposition, pour les motifs indiqués ci-après. B. Sur l’observation de l’article 6 de la Convention 1. Les thèses défendues par les parties a) Le requérant 87. Le requérant considère que l’utilisation à son procès d’éléments de preuve que l’on avait obtenus en le forçant à contribuer à sa propre incrimination a privé le procès de caractère équitable ab initio et a irrémédiablement ôté à l’intéressé la possibilité de se défendre de manière effective, au mépris de l’article 6 de la Convention. Le tribunal régional ayant décidé d’emblée, dans ses décisions du 9 avril 2003, de ne pas prononcer le non-lieu et d’autoriser l’emploi au procès de la totalité des différents éléments de preuve directement obtenus sous la menace (résultats de l’autopsie du corps de J., traces de pneus laissées par la voiture du requérant et empreintes des chaussures de celui-ci près de l’étang où le corps fut découvert, ainsi que les vêtements et le matériel scolaire de J. de même que la machine à écrire qui avait servi pour la lettre de chantage, etc.), il n’aurait pu assurer sa défense de manière effective. Ne fût-ce qu’après que ses aveux lui eurent été extorqués, les autorités n’auraient plus agi pour sauver la vie de J., qu’elles savaient mort ; elles se seraient d’ailleurs rendues seulement deux heures plus tard et sans médecin à l’étang où il avait caché le corps. 88. Ce serait uniquement parce que les éléments de preuve obtenus sous la menace auraient tous servi à prouver qu’il avait commis les infractions dont il était accusé qu’il serait passé aux aveux, y compris quant à son intention de tuer J., dans sa déclaration finale à la clôture du procès. Il aurait en toute hypothèse été victime d’un jugement préconçu car les autorités de poursuite auraient mené une campagne contre lui dans les médias. Il aurait été évident qu’il serait reconnu coupable et condamné à une peine de dix ans d’emprisonnement ou à la réclusion criminelle à perpétuité sur la foi des éléments de preuve que les aveux qui lui auraient été extorqués auraient permis d’obtenir, même s’il gardait le silence d’un bout à l’autre de son procès. En faisant des aveux au cours de celui-ci, ce qui n’aurait pas d’incidence sur le verdict de culpabilité de meurtre, il aurait eu au moins une chance que le tribunal y vît une circonstance atténuante au moment du prononcé de la peine, comme ce serait le cas d’habitude. Or, les éléments obtenus sous la menace ayant été versés à charge, aucun crédit n’aurait été accordé même à ses aveux. S’il n’avait pas avoué et si on ne l’avait pas contraint à révéler lui-même des preuves, le corps de J., qu’il avait caché dans une propriété privée isolée à une soixantaine de kilomètres de son lieu de résidence, et les autres pièces à conviction n’auraient jamais été découverts ou aucun lien avec son infraction n’aurait pu être établi. Il devrait être interdit, quelles que soient les circonstances, de se servir d’éléments obtenus grâce à une violation de l’article 3 ; en effet, admettre que l’importance du manquement aux droits de l’accusé soit mise en balance avec la gravité de l’infraction autoriserait des violations de l’article 3 dans des cas d’infractions graves, au mépris de l’article 15 § 2. On n’aurait donc pas non plus dû utiliser les éléments de preuve recueillis sous la menace pour vérifier l’exactitude de ses aveux. 89. Invoquant l’arrêt de la Cour dans l’affaire Jalloh c. Allemagne (arrêt précité), le requérant soutient de plus que les aveux qui lui ont été extorqués et tous les éléments de preuve qui ont été versés à charge ont été obtenus au moyen d’actes de torture prohibés par l’article 136a du code de procédure pénale et par l’article 3 de la Convention. Ces éléments ayant été déterminants pour la condamnation et le requérant n’ayant pu s’opposer de manière effective à leur utilisation, le procès n’aurait pas été équitable. b) Le Gouvernement 90. Pour le Gouvernement, la procédure pénale dirigée contre le requérant a été équitable et n’a pas méconnu les droits de la défense. Les aveux qui auraient été extorqués au requérant n’auraient pas été versés comme preuves à charge au procès. Le tribunal régional de Francfort-sur-le-Main aurait dit d’emblée que ses aveux antérieurs ne pourraient être versés à sa charge, mais l’intéressé n’en aurait pas moins choisi de son plein gré de ne pas se prévaloir de son droit de garder le silence et aurait expliqué le second jour du procès comment il avait tué J. Son avocat à l’époque aurait précisé qu’en avouant son crime le requérant avait souhaité en assumer la responsabilité. Cet aveu aurait constitué l’élément décisif, sinon le seul, sur lequel le tribunal interne aurait fondé ses constatations quant à la planification et à l’exécution des infractions, dont la préméditation de l’homicide sur la personne de J., préméditation que le requérant aurait admise dans sa déclaration finale après que le tribunal eut exprimé des doutes quant à la version qu’il avait donnée des événements dans laquelle il démentait avoir eu l’intention de tuer l’enfant. Ce qui prouverait que le requérant aurait pu se défendre à son procès d’une autre manière qu’en faisant des aveux complets. 91. Le Gouvernement concède que le tribunal régional a aussi utilisé des éléments recueillis après l’interrogatoire du requérant par la police le 1 er octobre 2002 (notamment les résultats de l’examen médical pratiqué sur le corps de J. et les traces de pneus laissées par la voiture du requérant près de l’endroit où le corps de J. avait été retrouvé). Ces éléments n’auraient toutefois servi qu’à confirmer les aveux antérieurs de l’intéressé au procès et en plus de déclarations de témoins et d’autres pièces importantes que la police aurait découvertes à l’appartement du requérant grâce à la surveillance à laquelle elle aurait soumis celui-ci à partir du moment où il se fut emparé de la rançon. Ni le droit de la Convention ni le droit international public n’interdiraient d’utiliser au procès des éléments de preuve (à la différence des aveux eux-mêmes) qu’un traitement prohibé par l’article 3 a permis de rassembler. 92. Se référant aux critères d’un procès équitable tels que la Cour les a réaffirmés dans son arrêt Jalloh c. Allemagne (précité), le Gouvernement souligne encore qu’il était loisible au requérant de contester l’utilisation au procès des éléments de preuve en question et qu’il s’est prévalu de cette faculté. En outre, il y aurait eu un intérêt public vital tant à sauver la vie de J. qu’à condamner le requérant pour le meurtre, ce qui aurait justifié d’utiliser des éléments recueillis grâce à une mesure contraire à l’article 3. Les éléments dont on se serait servi pour confirmer les aveux du requérant n’auraient pas été déterminants pour la condamnation. Quoi qu’il en soit, la surveillance exercée par la police sur le requérant une fois qu’il se fut emparé de la rançon aurait fortement nourri le soupçon qu’il était impliqué dans l’enlèvement de J. Il serait plus que probable que le corps de J. et d’autres pièces à conviction auraient de toute manière été découverts ultérieurement. c) La partie intervenante 93. Selon la partie intervenante, le procès du requérant a été conforme à l’article 6 de la Convention. En particulier, l’intéressé ne serait pas en réalité passé aux aveux à la suite d’un procès inéquitable dans son ensemble. Le requérant aurait déclaré tout au long de la procédure pénale devant le tribunal régional de Francfort-sur-le-Main que ce sont le remords et le respect dû aux proches de J. qui l’avaient poussé à avouer. Il ne serait pas légitime de sa part de prétendre maintenant qu’il a avoué uniquement en raison de la pression qu’auraient représentée les éléments de preuve disponibles une fois anéanti l’espoir qu’il concevait de voir considérer ses aveux comme une circonstance atténuante au moment de la fixation de la peine – en d’autres termes, de voir le tribunal juger que sa culpabilité n’était pas d’une particulière gravité. 2. L’appréciation de la Cour a) Principes généraux 94. Pour ce qui est de l’utilisation de preuves obtenues au mépris du droit de garder le silence et du droit de ne pas contribuer à sa propre incrimination, la Cour rappelle que ce sont des normes internationales généralement reconnues qui sont au cœur de la notion d’un procès équitable tel que garanti par l’article 6. Ces normes sont inspirées notamment par le souci de mettre un accusé à l’abri d’une contrainte abusive de la part des autorités, afin d’éviter des erreurs judiciaires et d’atteindre les buts de l’article 6. Le droit de ne pas contribuer à sa propre incrimination présuppose en particulier que l’accusation cherche à fonder son argumentation sans recourir à des éléments de preuve obtenus par la contrainte ou les pressions, au mépris de la volonté de l’accusé (voir, entre autres, Saunders c. Royaume-Uni , arrêt du 17 décembre 1996, Recueil 1996 ‑ VI, p. 2064, § 68, et Heaney et McGuinness c. Irlande , n o 34720/97, § 40, CEDH 2000-XII). 95. Pour déterminer si la procédure a été équitable dans son ensemble, il faut aussi rechercher si les droits de la défense ont été respectés. Il y a lieu de se demander en particulier si le requérant a eu la possibilité de contester l’authenticité des preuves et de s’opposer à leur utilisation. Il faut également prendre en compte la qualité des pièces à conviction et notamment vérifier si les circonstances dans lesquelles elles ont été obtenues jettent le doute sur leur crédibilité ou leur exactitude (voir, entre autres , Khan c. Royaume-Uni , n o 35394/97, §§ 35 et 37, CEDH 2000-V ; Allan c. Royaume-Uni , n o 48539/99, § 43, CEDH 2002-IX, et Heglas , précité, § 86). 96. La Cour rappelle en outre qu’il ne lui appartient pas de connaître des erreurs de fait ou de droit prétendument commises par une juridiction interne, sauf si et dans la mesure où elles pourraient avoir porté atteinte aux droits et libertés sauvegardés par la Convention. Si la Convention garantit en son article 6 le droit à un procès équitable, elle ne réglemente pas pour autant l’admissibilité des preuves en tant que telle, matière qui relève au premier chef du droit interne ( Schenk c. Suisse , arrêt du 12 juillet 1988, série A n o 140, p. 29, §§ 45-46 ; Teixeira de Castro c. Portugal , arrêt du 9 juin 1998, Recueil 1998-IV, p. 1462, § 34, et Heglas , précité, § 84). 97. La Cour n’a donc pas pour tâche de se prononcer par principe sur la recevabilité de certaines sortes d’éléments de preuve – par exemple des preuves obtenues de manière illégale. Il faut examiner si la procédure, y compris le mode d’obtention des preuves, fut équitable dans son ensemble, ce qui implique l’examen de l’ « illégalité » en question et, dans le cas où se trouve en cause la violation d’un autre droit protégé par la Convention, la nature de cette violation (voir, entre autres, Khan , précité, § 34 ; P.G. et J.H. c. Royaume-Uni , n o 44787/98, § 76, CEDH 2001-IX, et Allan , précité, § 42). 98. Pour ce qui est de la nature de la violation de la Convention constatée, la Cour rappelle que des considérations particulières valent pour l’utilisation dans une procédure pénale d’éléments de preuve obtenus grâce à une mesure jugée contraire à l’article 3. L’utilisation de pareils éléments, obtenus grâce à une violation de l’un des droits constituant le noyau dur de la Convention, suscite toujours de graves doutes quant à l’équité de la procédure ( İçöz c. Turquie (déc.), n o 54919/00, 9 janvier 2003 ; Jalloh , précité, §§ 99, 104 ; Göçmen c. Turquie , n o 72000/01, § 73, 17 octobre 2006, et Harutyunyan c. Arménie , n o 36549/03, § 63, CEDH 2007-...). 99. En conséquence, la Cour a conclu à propos d’aveux en tant que tels que l’utilisation comme preuves dans la procédure pénale de déclarations obtenues par des actes de torture ( Harutyunyan , précité, §§ 63, 66) ou d’autres mauvais traitements, au mépris de l’article 3 ( Göçmen , précité, §§ 74-75), avait entaché d’inéquité l’ensemble de la procédure, que l’admission de ces éléments eût été ou non déterminante pour le verdict de culpabilité qui avait frappé le requérant. Quant à l’utilisation au procès de preuves matérielles que des mauvais traitements au mépris de l’article 3 avaient permis de recueillir, la Cour a estimé que des éléments matériels à charge rassemblés au moyen d’actes de violence, du moins si ces actes peuvent être qualifiés de torture, ne doivent jamais, quelle qu’en soit la valeur probante, être invoqués pour prouver la culpabilité de la personne qui en a été victime. Toute autre conclusion ne ferait que légitimer indirectement le type de conduite moralement répréhensible que les auteurs de l’article 3 de la Convention ont cherché à interdire ou, en d’autres termes, « à conférer une apparence de légalité à la brutalité » ( Jalloh , précité, §§ 105-107). b) Application de ces principes en l’espèce 100. Comme les exigences du paragraphe 3 de l’article 6 concernant les droits de la défense et le principe prohibant l’auto-incrimination représentent des aspects particuliers du droit à un procès équitable garanti par l’article 6 § 1, la Cour examinera les griefs sous l’angle de ces deux textes combinés (voir, parmi maints autres arrêts, Windisch c. Autriche , arrêt du 27 septembre 1990, série A n o 186, p. 9, § 23, et Lüdi c. Suisse , arrêt du 15 juin 1992, série A n o 238, p. 20, § 43). 101. Pour rechercher si la procédure pénale dirigée contre le requérant peut passer pour avoir été équitable dans son ensemble, la Cour renvoie à son constat ci-dessus selon lequel les aveux que le requérant a faits au cours de l’enquête lorsqu’il fut interrogé par E. le 2 octobre 2002, lui ont été extorqués au moyen d’un traitement inhumain contraire à l’article 3 (paragraphe 70 ci-dessus). Toutefois, le premier jour du procès, le tribunal régional de Francfort-sur-le-Main, accueillant la demande du requérant en ce sens, décida que non seulement ces aveux-là mais aussi tous ceux faits postérieurement par le requérant et jusqu’alors seraient exclus du procès en application de l’article 136a § 3 du code de procédure pénale. Le tribunal a estimé que, compte tenu de l’effet persistant de l’emploi de méthodes d’interrogatoire prohibées, aucune des déclarations que le requérant avait formulées devant les autorités d’enquête ne pouvait être utilisée au procès parce que l’intéressé n’avait pas reçu « l’information qualifiée » qui lui aurait appris que ses déclarations antérieures ne pouvaient être invoquées dans le cadre de la procédure dirigée contre lui (paragraphes 24-26 ci ‑ dessus). 102. Dans ces conditions, la Cour estime que, à l’inverse de ce qui s’était passé dans les affaires Hulki Güneş c. Turquie , n o 28490/95, § 91, CEDH 2003-VII, et Göçmen (arrêt précité, § 73), la législation et la pratique internes attachaient des conséquences à des aveux obtenus au moyen de mauvais traitements prohibés, ce qui a replacé le requérant dans le statu quo ante sur ce point et a donc servi à la fois à condamner des méthodes d’enquête contraires à l’article 3 et à les prévenir pour l’avenir. 103. La Cour relève qu’en l’espèce les tribunaux internes, en rejetant dès le début du procès la demande du requérant en ce sens, ont refusé d’interdire l’utilisation des pièces à conviction dont les autorités d’enquête avaient eu connaissance grâce aux déclarations extorquées à l’intéressé (le « fruit de l’arbre empoisonné » – paragraphe 27 ci-dessus). Il ressort des motifs du jugement du tribunal régional que certains au moins de ces éléments, en particulier les traces de pneus laissées par la voiture du requérant près de l’étang où le corps de l’enfant avait été retrouvé et les résultats de l’autopsie quant à la cause du décès du jeune garçon, servirent à prouver la véracité des aveux que le requérant fit au procès (paragraphe 30 ci-dessus). 104. En ce qui concerne la manière dont les autorités d’enquête ont recueilli ces preuves matérielles, la Cour observe qu’à ses dires, le requérant a été directement contraint de révéler lui-même ces preuves. Or, comme elle l’a constaté (paragraphe 68 ci-dessus), rien n’indique que les policiers présents lors du trajet pour se rendre à Birstein et en revenir aient directement menacé le requérant afin de l’amener à révéler des preuves matérielles. De toute façon, les autorités d’enquête disposaient d’éléments tels que la lettre de chantage et une note se rapportant à la planification de l’infraction pour avoir surveillé secrètement le requérant après qu’il se fut emparé de la rançon. La Cour a la conviction qu’elles n’ont pu rassembler les éléments litigieux que par suite indirecte – ou en tant que « fruit » – des déclarations que le requérant avait formulées en raison de l’effet persistant des méthodes d’interrogatoire employées au mépris de l’article 3. Cette affaire doit donc être distinguée de celle de Jalloh c. Allemagne (arrêt précité), qui concernait l’utilisation au procès du requérant de pièces à conviction obtenues au moyen de mauvais traitements jugés contraires à l’article 3 (à savoir l’administration d’un émétique afin de forcer l’intéressé à régurgiter la preuve (de la drogue) qu’il avait avalée). 105. Eu égard à ce qui précède, la Cour estime que l’utilisation au procès du requérant des pièces à conviction en question n’entre pas dans la catégorie des affaires où pareille utilisation a privé automatiquement le procès d’équité quelles que soient les circonstances. Elle conclut pourtant à l’existence d’une forte présomption que l’utilisation de preuves représentant le fruit d’aveux extorqués par des moyens contraires à l’article 3 prive, au même titre que l’utilisation des aveux extorqués en soi, de caractère équitable le procès dans son ensemble. Elle se doit donc d’apprécier l’équité de la procédure dirigée contre le requérant à la lumière de toutes les circonstances de la cause en prenant en considération en particulier celles établies au moyen de preuves non viciées, le poids accordé aux preuves querellées et au point de savoir si les droits de la défense du requérant ont été respectés, notamment si l’intéressé a eu la possibilité de contester la recevabilité et l’utilisation de ces preuves à son procès. 106. Quant au poids que les tribunaux internes ont accordé aux éléments de preuve querellés ainsi qu’aux éléments non viciés, la Cour relève que dans son jugement le tribunal régional a tenu pour prouvé que le requérant avait commis l’infraction, en se fondant uniquement sur les nouveaux aveux complets qu’il avait faits au procès, et notamment dans sa déclaration finale, après avoir reçu une information qualifiée (paragraphe 30 ci-dessus). Elle observe à ce propos que le tribunal régional, ainsi que le confirma la Cour fédérale de justice, a expressément considéré les déclarations du requérant au procès comme la base essentielle, sinon unique, de ses constats quant à la planification de l’infraction, constats étayés par le témoignage de la sœur de J., le libellé de la lettre de chantage et la note sur l’organisation du crime qui avait été retrouvée dans l’appartement du requérant. La police ayant surveillé secrètement celui-ci une fois qu’il se fut emparé de la rançon, on ne peut dire que ce sont les premiers aveux extorqués au requérant qui ont permis de recueillir ces éléments supplémentaires. En outre, pour ce qui est de l’accomplissement de l’infraction, le tribunal régional a dit explicitement que ses constatations sur cette question reposaient exclusivement sur les aveux que le requérant avait faits à son procès. Le tribunal s’est servi d’autres éléments pour vérifier l’authenticité des aveux. Y figuraient certains éléments litigieux, à savoir les résultats de l’autopsie quant à la cause du décès de J. et les traces de pneus laissées par la voiture du requérant près de l’étang où avait été retrouvé le corps de l’enfant, mais aussi des pièces à conviction que la police aurait pu rassembler même sans les aveux qu’elle extorqua au requérant, à savoir l’argent de la rançon retrouvé dans l’appartement du requérant ou sur ses comptes bancaires. Dans ces conditions, la Cour considère que ce sont essentiellement les nouveaux aveux que le requérant fit à son procès qui ont fondé le jugement du tribunal régional, alors que tous les autre éléments, y compris les preuves matérielles litigieuses, ont revêtu un caractère accessoire et n’ont servi qu’à vérifier l’authenticité des aveux. Le requérant ayant livré des aveux complets et s’étant de la sorte incriminé, on peut même dire que les éléments de preuve accessoires n’ont pas été utilisés à son détriment. La Cour observe à ce propos que, d’après les éléments dont disposait le tribunal régional, même sans les aveux du requérant le dernier jour du procès, des preuves abondantes permettaient déjà de conclure que le requérant était coupable pour le moins d’enlèvement avec demande de rançon. 107. Pour ce qui est des nouveaux aveux que le requérant fit à son procès, la Cour relève en outre que dans le cadre de la procédure devant elle, le requérant a affirmé les avoir livrés uniquement parce que les éléments de preuve litigieux auraient été, et avaient bien été, utilisés comme preuves à charge. Elle note cependant que dans l’instance devant les tribunaux internes, le requérant a toujours confirmé être passé aux aveux de son plein gré par remords et en guise d’excuse. Quoi qu’il en soit, compte tenu des motifs du tribunal régional insistant sur l’importance décisive que les aveux du requérant avaient revêtue pour ses constatations relatives à l’exécution de l’infraction (paragraphes 30-31 ci-dessus) et sans lesquels n’aurait peut-être pu être prouvée qu’une infraction moins grave, et du fait que le requérant a été assisté par un défenseur, la Cour n’a pas la conviction que l’intéressé n’eût pas pu garder le silence et qu’il n’ait plus disposé d’autre moyen de défense que d’avouer au procès. En réalité, il est passé aux aveux tout au début du procès et à la fin en des termes différents, de sorte que l’on peut dire qu’il a varié dans sa ligne de défense. Ses aveux ne peuvent donc être tenus pour le résultat de mesures qui auraient vidé de leur substance les droits de la défense à son procès. 108. Quant aux possibilités qu’a eues le requérant de contester les éléments litigieux, la Cour remarque qu’il a combattu avec succès l’utilisation des propos qu’il avait tenus avant le procès. Le tribunal régional a exclu non seulement les déclarations extorquées en soi, mais aussi toutes les autres que l’intéressé aurait pu formuler à cause de l’effet persistant du traitement contraire à l’article 3. En outre, le requérant aurait pu s’opposer et s’est de fait opposé à l’utilisation des éléments de preuve matériels – et dignes de crédit – à son procès. Le tribunal régional, qui avait la latitude d’exclure ces preuves, les a déclarées recevables par une décision pleinement motivée pesant tous les intérêts en jeu. Dès lors, la Cour estime que les droits de la défense du requérant n’ont pas non plus été méconnus à cet égard. 109. La Cour conclut que dans les circonstances particulières de la cause, dont la surveillance policière à laquelle le requérant fut soumis une fois qu’il se fut emparé de la rançon et les éléments de preuve non viciés, les éléments de preuve litigieux ne sont intervenus qu’accessoirement dans le verdict de culpabilité qui a frappé le requérant et que leur admission n’a pas compromis les droits de la défense. Leur utilisation n’a donc pas privé l’ensemble du procès du requérant de caractère équitable. En conséquence, il n’y a pas eu violation de l’article 6 §§ 1 et 3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