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22643/07 vom 26. Januar 2016</w:t>
      </w:r>
    </w:p>
    <w:p>
      <w:r>
        <w:t>Ecthr Chamber, 2016-01-26, FR</w:t>
      </w:r>
    </w:p>
    <w:p>
      <w:r>
        <w:rPr>
          <w:b/>
        </w:rPr>
        <w:t xml:space="preserve">Quelle: </w:t>
      </w:r>
      <w:r>
        <w:t>https://mcp.opencaselaw.ch/entscheid/ecthr_chamber_22643_07</w:t>
      </w:r>
    </w:p>
    <w:p>
      <w:r>
        <w:t>FR: ECTHR_CHAMBER 22643/07 du 26 janvier 2016</w:t>
      </w:r>
    </w:p>
    <w:p>
      <w:r>
        <w:t>IT: ECTHR_CHAMBER 22643/07 del 26 gennaio 2016</w:t>
      </w:r>
    </w:p>
    <w:p>
      <w:pPr>
        <w:pStyle w:val="Heading2"/>
      </w:pPr>
      <w:r>
        <w:t>Regeste</w:t>
      </w:r>
    </w:p>
    <w:p>
      <w:r>
        <w:t>Violation de l'article 3 - Interdiction de la torture (Article 3 - Enquête efficace) (Volet procédural); Violation: 3</w:t>
      </w:r>
    </w:p>
    <w:p>
      <w:pPr>
        <w:pStyle w:val="Heading2"/>
      </w:pPr>
      <w:r>
        <w:t>Erwägungen</w:t>
      </w:r>
    </w:p>
    <w:p>
      <w:r>
        <w:rPr>
          <w:b/>
        </w:rPr>
        <w:t>E. 27</w:t>
      </w:r>
    </w:p>
    <w:p>
      <w:r>
        <w:t>Invoquant les articles 3, 6 et 13 de la Convention, le requérant allègue qu’il a été victime de violences policières et qu’il a été privé d’une enquête effective à ce sujet. Il dénonce en outre une durée excessive de la procédure.</w:t>
      </w:r>
    </w:p>
    <w:p>
      <w:r>
        <w:rPr>
          <w:b/>
        </w:rPr>
        <w:t>E. 28</w:t>
      </w:r>
    </w:p>
    <w:p>
      <w:r>
        <w:t>Maîtresse de la qualification juridique des faits de la cause ( Tarakhel c. Suisse [GC], n o 29217/12, § 55, CEDH 2014 (extraits), et Gherghina c. Roumanie (déc.) [GC], n o 42219/07, § 59, 9 juillet 2015), la Cour estime qu’il convient d’examiner ces griefs sous le seul angle de l’article 3 de la Convention. Cette disposition est ainsi libellée : « Nul ne peut être soumis à la torture ni à des peines ou traitements inhumains ou dégradants. »</w:t>
      </w:r>
    </w:p>
    <w:p>
      <w:r>
        <w:rPr>
          <w:b/>
        </w:rPr>
        <w:t>E. 29</w:t>
      </w:r>
    </w:p>
    <w:p>
      <w:r>
        <w:t>Le Gouvernement combat la thèse du requérant. A. Sur les allégations de mauvais traitements</w:t>
      </w:r>
    </w:p>
    <w:p>
      <w:r>
        <w:rPr>
          <w:b/>
        </w:rPr>
        <w:t>E. 30</w:t>
      </w:r>
    </w:p>
    <w:p>
      <w:r>
        <w:t>Le requérant soutient avoir subi après son arrestation des traitements contraires à l’article 3 de la Convention. À l’appui, il présente un rapport médical établi le 10 mai 2002 par le médecin légiste de Şişli. Il soutient également que les policiers ont utilisé à son encontre une force disproportionnée lors de son arrestation.</w:t>
      </w:r>
    </w:p>
    <w:p>
      <w:r>
        <w:rPr>
          <w:b/>
        </w:rPr>
        <w:t>E. 31</w:t>
      </w:r>
    </w:p>
    <w:p>
      <w:r>
        <w:t>Le Gouvernement indique que, lors de l’intervention des policiers, le requérant était sous l’empire de l’alcool, qu’il avait continué à brutaliser la femme qui l’accompagnait, qu’il avait également agressé les policiers verbalement et physiquement, qu’ensuite il avait perdu l’équilibre et était tombé par terre et que finalement les policiers avaient dû utiliser la force pour le maîtriser.</w:t>
      </w:r>
    </w:p>
    <w:p>
      <w:r>
        <w:rPr>
          <w:b/>
        </w:rPr>
        <w:t>E. 32</w:t>
      </w:r>
    </w:p>
    <w:p>
      <w:r>
        <w:t>Par ailleurs, le Gouvernement ne met pas en doute le constat des blessures figurant dans le rapport médical du requérant. Toutefois, selon lui, les blessures en question sont dues aux agissements agressifs de l’intéressé. Disant se référer aux dépositions des policiers, le Gouvernement soutient que c’est le requérant qui avait agressé les policiers qui s’apprêtaient à intervenir et qu’il avait de lui-même cogné le pare-chocs de la voiture de police garée sur le lieu de l’incident. Il serait également possible que H.B., qui se battait avec le requérant, ait causé ses blessures tout en se défendant.</w:t>
      </w:r>
    </w:p>
    <w:p>
      <w:r>
        <w:rPr>
          <w:b/>
        </w:rPr>
        <w:t>E. 33</w:t>
      </w:r>
    </w:p>
    <w:p>
      <w:r>
        <w:t>La Cour rappelle que des allégations de mauvais traitements doivent être soutenues par des éléments de preuve appropriés. Pour l’établissement des faits allégués, elle se sert du critère de la preuve « au-delà de tout doute raisonnable », une telle preuve pouvant néanmoins résulter d’un faisceau d’indices, ou de présomptions non réfutées, suffisamment graves, précis et concordants ( Irlande c. Royaume-Uni , 18 janvier 1978, § 161 in fine , série A n o 25, Labita c. Italie [GC], n os 26772/95, § 121, CEDH 2000 ‑ IV, Gäfgen c. Allemagne [GC], n o 22978/05, § 87, CEDH 2010, § 92, et Bouyid c. Belgique ([GC], n o 23380/09, § 82, 28 septembre 2015).</w:t>
      </w:r>
    </w:p>
    <w:p>
      <w:r>
        <w:rPr>
          <w:b/>
        </w:rPr>
        <w:t>E. 34</w:t>
      </w:r>
    </w:p>
    <w:p>
      <w:r>
        <w:t>La Cour observe que les positions des parties sont opposées quant à l’origine des blessures : pour le Gouvernement, ces blessures avaient pour origine l’altercation qui avait opposé le requérant et sa compagne et les comportements agressifs du requérant lors de l’intervention des policiers; pour le requérant, qui ne se prononce pas sur sa dispute avec sa compagne ni sur ce qui se serait passé au poste de police, les blessures résultaient des violences exercées sur lui par les policiers pendant et après son arrestation.</w:t>
      </w:r>
    </w:p>
    <w:p>
      <w:r>
        <w:rPr>
          <w:b/>
        </w:rPr>
        <w:t>E. 35</w:t>
      </w:r>
    </w:p>
    <w:p>
      <w:r>
        <w:t>Même si le Gouvernement ne met pas en cause la véracité du rapport médical relatif au requérant et l’existence des blessures qui y sont mentionnées, au vu des divergences existant entre les explications fournies par chacune des parties, la Cour estime ne pas être en mesure, à partir des éléments dont elle dispose, d’affirmer avec un degré suffisant de certitude que les lésions du requérant sont uniquement le résultat de violences qui lui auraient été infligées pendant l’intervention et postérieurement à son arrestation.</w:t>
      </w:r>
    </w:p>
    <w:p>
      <w:r>
        <w:rPr>
          <w:b/>
        </w:rPr>
        <w:t>E. 36</w:t>
      </w:r>
    </w:p>
    <w:p>
      <w:r>
        <w:t>En effet, la Cour observe d’abord qu’il ressort des tests d’alcoolémie effectués à 7 h 10 du jour de l’incident (paragraphe 8 ci-dessus), des dépositions des policiers (paragraphe 9 ci-dessus), du rapport établi par le commissaire en chef M.O. (paragraphe 11 ci-dessus) et du jugement du tribunal correctionnel de Şişli du 20 septembre 2005, confirmé par l’arrêt de la Cour de cassation du 29 mai 2007, que le requérant et surtout la femme qui l’accompagnait présentaient un taux assez élevé d’alcoolémie et qu’ils avaient une altercation dans la rue avant l’arrivée sur place des policiers, et que le requérant avait montré une certaine résistance lorsque les policiers avaient demandé à vérifier son identité et essayé d’intervenir et de l’arrêter. Elle estime qu’il n’est pas exclu qu’une partie voire l’intégralité des blessures du requérant trouve son explication dans ce contexte.</w:t>
      </w:r>
    </w:p>
    <w:p>
      <w:r>
        <w:rPr>
          <w:b/>
        </w:rPr>
        <w:t>E. 37</w:t>
      </w:r>
    </w:p>
    <w:p>
      <w:r>
        <w:t>La Cour observe ensuite que le requérant n’a pas présenté suffisamment de détails, ni lors de sa plainte devant les juridictions internes ni devant la Cour, de nature à étayer ses allégations quant au déroulement des faits et aux mauvais traitements qu’il aurait subis après son arrestation et pendant qu’il était au poste de police ; il n’a fait que s’appuyer sur le rapport médical pour ses allégations.</w:t>
      </w:r>
    </w:p>
    <w:p>
      <w:r>
        <w:rPr>
          <w:b/>
        </w:rPr>
        <w:t>E. 38</w:t>
      </w:r>
    </w:p>
    <w:p>
      <w:r>
        <w:t>Dès lors, un examen des faits de la présente affaire ne fait pas ressortir des éléments permettant à la Cour d’établir que les blessures révélées sur le corps du requérant se soient produites en raison de l’utilisation d’une force disproportionnée à son encontre lors de son arrestation ou après l’arrestation, au poste de police.</w:t>
      </w:r>
    </w:p>
    <w:p>
      <w:r>
        <w:rPr>
          <w:b/>
        </w:rPr>
        <w:t>E. 39</w:t>
      </w:r>
    </w:p>
    <w:p>
      <w:r>
        <w:t>Il s’ensuit que le grief du requérant tiré du volet matériel de l’article 3 de la Convention est manifestement mal fondé et qu’il doit être rejeté, en application de l’article 35 §§ 3 et 4 de la Convention. B. Sur le caractère effectif des investigations</w:t>
      </w:r>
    </w:p>
    <w:p>
      <w:r>
        <w:rPr>
          <w:b/>
        </w:rPr>
        <w:t>E. 40</w:t>
      </w:r>
    </w:p>
    <w:p>
      <w:r>
        <w:t>Le requérant soutient qu’il n’a pas bénéficié d’une enquête effective alors qu’il avait été victime de violences policières. Il dénonce en outre une durée excessive de la procédure.</w:t>
      </w:r>
    </w:p>
    <w:p>
      <w:r>
        <w:rPr>
          <w:b/>
        </w:rPr>
        <w:t>E. 41</w:t>
      </w:r>
    </w:p>
    <w:p>
      <w:r>
        <w:t>Le Gouvernement indique que le requérant a porté plainte contre les policiers environ dix-huit mois après les faits. Il soutient que le procureur de la République a mené une enquête effective, et qu’il a entendu les policiers A.B. et U.K. ainsi que le requérant. Il précise qu’il n’a pas été possible d’interroger le policier Y.D., décédé entre-temps. Le Gouvernement ajoute qu’il a connaissance de la jurisprudence de la Cour en matière de durée de l’enquête, y compris le procès qui suit l’instruction. 1. Sur la recevabilité</w:t>
      </w:r>
    </w:p>
    <w:p>
      <w:r>
        <w:rPr>
          <w:b/>
        </w:rPr>
        <w:t>E. 42</w:t>
      </w:r>
    </w:p>
    <w:p>
      <w:r>
        <w:t>La Cour vient de conclure que le grief tiré du volet matériel de l’article 3 est manifestement mal fondé (paragraphe 39, ci-dessus). Cela n’empêche pas que le grief tiré du volet procédural soit déclaré recevable. En effet, même si la commission de mauvais traitements par des agents de l’État n’est pas établie devant la Cour, il demeure possible que le requérant ait soutenu de manière défendable, au moment des faits et au moment de déposer une plainte à cet égard, avoir subi de tels traitements, et qu’eu égard à une telle allégation il y eut une obligation d’enquêter sur les faits (voir, par exemple, Mudayevy c. Russie , n o 33105/05, §§ 113 et 114, 8 avril 2010). La Cour estime qu’il en est ainsi en l’espèce. Elle constate par ailleurs que le procureur de la République de Şişli a bien ouvert une enquête suite à la plainte déposée par le requérant. Le grief tiré du volet procédural de l’article 3 ne saurait donc, dans les circonstances de la présente affaire, être déclaré manifestement mal fondé au sens de l’article 35 § 3 a) de la Convention. Comme ce grief ne se heurte à aucun autre motif d’irrecevabilité, la Cour le déclare recevable. 2. Sur le fond</w:t>
      </w:r>
    </w:p>
    <w:p>
      <w:r>
        <w:rPr>
          <w:b/>
        </w:rPr>
        <w:t>E. 43</w:t>
      </w:r>
    </w:p>
    <w:p>
      <w:r>
        <w:t>S’agissant de l’obligation pour les autorités nationales d’ouvrir et de mener une enquête effective, la Cour se réfère aux principes qui se dégagent de sa jurisprudence ( El-Masri c. l’ex-République yougoslave de Macédoine [GC], n o 39630/09, §§ 182-185, CEDH 2012, Mocanu et autres c. Roumanie [GC], n os 10865/09, 45886/07 et 32431/08, §§ 316-326, CEDH 2014 (extraits), et Bouyid , précité, §§ 115-123).</w:t>
      </w:r>
    </w:p>
    <w:p>
      <w:r>
        <w:rPr>
          <w:b/>
        </w:rPr>
        <w:t>E. 44</w:t>
      </w:r>
    </w:p>
    <w:p>
      <w:r>
        <w:t>Ainsi, compte tenu du devoir général incombant à l’État en vertu de l’article 1 de la Convention de « reconna[ître] à toute personne relevant de [sa] juridiction les droits et libertés définis [dans] la (...) Convention », les dispositions de l’article 3 requièrent par implication qu’une forme d’enquête officielle effective soit menée lorsqu’un individu soutient de manière défendable avoir subi, de la part notamment de la police ou d’autres services comparables de l’État, un traitement contraire à l’article 3 ( Mocanu et autres, précité, § 317, et Bouyid , précité, § 116).</w:t>
      </w:r>
    </w:p>
    <w:p>
      <w:r>
        <w:rPr>
          <w:b/>
        </w:rPr>
        <w:t>E. 45</w:t>
      </w:r>
    </w:p>
    <w:p>
      <w:r>
        <w:t>Il s’agit essentiellement, au travers d’une telle enquête, d’assurer l’application effective des lois qui interdisent la torture et les peines et traitements inhumains ou dégradants dans les affaires où des agents ou organes de l’État sont impliqués, et de garantir que ceux-ci aient à rendre des comptes au sujet des mauvais traitements survenus sous leur responsabilité ( Mocanu et autres, précité, § 318, et Bouyid , précité, § 117).</w:t>
      </w:r>
    </w:p>
    <w:p>
      <w:r>
        <w:rPr>
          <w:b/>
        </w:rPr>
        <w:t>E. 46</w:t>
      </w:r>
    </w:p>
    <w:p>
      <w:r>
        <w:t>Une exigence de célérité et de diligence raisonnable en découle implicitement. S’il peut y avoir des obstacles ou des difficultés empêchant l’enquête de progresser dans une situation particulière, une réponse rapide des autorités lorsqu’il s’agit d’enquêter sur le recours illégal à la force ou sur des allégations de mauvais traitements peut généralement être considérée comme essentielle pour préserver la confiance du public dans le respect du principe de légalité et éviter toute apparence de complicité ou de tolérance relativement à des actes illégaux ( Mocanu et autres, précité, § 323, et Bouyid , précité, § 121).</w:t>
      </w:r>
    </w:p>
    <w:p>
      <w:r>
        <w:rPr>
          <w:b/>
        </w:rPr>
        <w:t>E. 47</w:t>
      </w:r>
    </w:p>
    <w:p>
      <w:r>
        <w:t>Enfin, l’enquête doit être approfondie, ce qui signifie que les autorités doivent toujours s’efforcer sérieusement de découvrir ce qui s’est passé et qu’elles ne doivent pas s’appuyer sur des conclusions hâtives ou mal fondées pour clore l’enquête ( Mocanu et autres, précité, § 183, et Bouyid , précité, § 123).</w:t>
      </w:r>
    </w:p>
    <w:p>
      <w:r>
        <w:rPr>
          <w:b/>
        </w:rPr>
        <w:t>E. 48</w:t>
      </w:r>
    </w:p>
    <w:p>
      <w:r>
        <w:t>En l’espèce, la Cour constate que le procureur de la République a entendu l’un des policiers deux mois après la date de dépôt de la plainte par le requérant, qu’il a découvert environ deux ans et neuf mois après cette date que le deuxième policier était décédé en 2004, et qu’il a entendu le troisième environ trois ans et trois mois après cette date encore. Ensuite, il n’a rendu son ordonnance qu’en 2009, soit près de cinq ans et six mois après le dépôt de la plainte en question.</w:t>
      </w:r>
    </w:p>
    <w:p>
      <w:r>
        <w:rPr>
          <w:b/>
        </w:rPr>
        <w:t>E. 49</w:t>
      </w:r>
    </w:p>
    <w:p>
      <w:r>
        <w:t>Par ailleurs, la Cour note que le procureur de la République et la cour d’assises ont rejeté la plainte de l’intéressé, et ce sans se livrer à un véritable raisonnement juridique. Elle relève que ces autorités n’ont pas cherché à justifier le degré de la force employée contre le requérant lors de son arrestation et que l’enquête pénale menée en l’espèce n’a pas porté sur les allégations de mauvais traitements du requérant après son arrestation. Le procureur de la République s’est borné à constater une insuffisance des preuves sans fournir aucune explication, ajoutant qu’en tout état de cause le délai de prescription était écoulé.</w:t>
      </w:r>
    </w:p>
    <w:p>
      <w:r>
        <w:rPr>
          <w:b/>
        </w:rPr>
        <w:t>E. 50</w:t>
      </w:r>
    </w:p>
    <w:p>
      <w:r>
        <w:t>Dès lors, la Cour conclut que les autorités n’ont pas conduit d’enquête effective à la suite de la plainte du requérant. Il y a donc eu violation de l’article 3 de la Convention dans son volet procédural. II. SUR L’APPLICATION DE L’ARTICLE 41 DE LA CONVENTION 51.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Dommages 52. Le requérant réclame 50 000 euros (EUR) pour préjudice moral. 53. Le Gouvernement conteste ces prétentions. 54. Statuant en équité, la Cour estime qu’il y a lieu d’octroyer au requérant 5 000 EUR pour dommage moral. B. Frais et dépens 55. Le requérant demande également 2 400 EUR pour les frais et dépens qu’il aurait engagés devant la Cour. Il ventile sa demande comme suit : 1 470 EUR pour les honoraires d’avocat et 930 EUR pour les frais postaux, d’assistance et de traduction. À l’appui de sa prétention, il fournit le barème tarifaire du barreau d ’Istanbul ainsi qu’une note de frais établie par son représentant pour les frais de traduction, d’assistance et de papeterie. 56. Le Gouvernement estime que cette demande n’est pas justifiée et il invite la Cour à la rejeter. 57. Selon la jurisprudence de la Cour, un requérant ne peut obtenir le remboursement de ses frais et dépens que dans la mesure où se trouvent établis leur réalité, leur nécessité et le caractère raisonnable de leur taux. Compte tenu des documents dont elle dispose et des critères susmentionnés, la Cour estime raisonnable la somme de 2 000 EUR tous frais confondus et l’accorde au requérant. C. Intérêts moratoires 58.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