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22427/06 vom 18. Oktober 2011</w:t>
      </w:r>
    </w:p>
    <w:p>
      <w:r>
        <w:t>Ecthr Chamber, 2011-10-18, FR</w:t>
      </w:r>
    </w:p>
    <w:p>
      <w:r>
        <w:rPr>
          <w:b/>
        </w:rPr>
        <w:t xml:space="preserve">Quelle: </w:t>
      </w:r>
      <w:r>
        <w:t>https://mcp.opencaselaw.ch/entscheid/ecthr_chamber_22427_06</w:t>
      </w:r>
    </w:p>
    <w:p>
      <w:r>
        <w:t>FR: ECTHR_CHAMBER 22427/06 du 18 octobre 2011</w:t>
      </w:r>
    </w:p>
    <w:p>
      <w:r>
        <w:t>IT: ECTHR_CHAMBER 22427/06 del 18 ottobre 2011</w:t>
      </w:r>
    </w:p>
    <w:p>
      <w:pPr>
        <w:pStyle w:val="Heading2"/>
      </w:pPr>
      <w:r>
        <w:t>Regeste</w:t>
      </w:r>
    </w:p>
    <w:p>
      <w:r>
        <w:t>Violation de l'art. 2 (volet matériel);Dommage matériel - demande rejetée;Préjudice moral - réparation; Violation: 2</w:t>
      </w:r>
    </w:p>
    <w:p>
      <w:pPr>
        <w:pStyle w:val="Heading2"/>
      </w:pPr>
      <w:r>
        <w:t>Erwägungen</w:t>
      </w:r>
    </w:p>
    <w:p>
      <w:r>
        <w:rPr>
          <w:b/>
        </w:rPr>
        <w:t>E. 39</w:t>
      </w:r>
    </w:p>
    <w:p>
      <w:r>
        <w:t>Les requérants allèguent que les événements qui ont entraîné le suicide d’İsmail pendant son service militaire ont emporté violation de l’article 2 de la Convention. Ils soutiennent notamment que les autorités militaires, en omettant de prendre les mesures nécessaires pour protéger la vie d’İsmail alors qu’elles étaient selon eux au courant de ses troubles psychiques, ont failli à leurs obligations positives découlant de l’article 2 de la Convention.</w:t>
      </w:r>
    </w:p>
    <w:p>
      <w:r>
        <w:rPr>
          <w:b/>
        </w:rPr>
        <w:t>E. 40</w:t>
      </w:r>
    </w:p>
    <w:p>
      <w:r>
        <w:t>Le Gouvernement combat cette thèse.</w:t>
      </w:r>
    </w:p>
    <w:p>
      <w:r>
        <w:rPr>
          <w:b/>
        </w:rPr>
        <w:t>E. 41</w:t>
      </w:r>
    </w:p>
    <w:p>
      <w:r>
        <w:t>A titre préliminaire, la Cour observe que le requérant Nusrettin Acet est décédé le 13 février 2007 et que ses héritiers n’ont pas manifesté leur intention de poursuivre la procédure en son nom (paragraphe 5 ci-dessus). Par conséquent, il convient de rayer la requête du rôle en ce qui le concerne, en application de l’article 37 § 1 c) de la Convention. A. Sur la recevabilité</w:t>
      </w:r>
    </w:p>
    <w:p>
      <w:r>
        <w:rPr>
          <w:b/>
        </w:rPr>
        <w:t>E. 42</w:t>
      </w:r>
    </w:p>
    <w:p>
      <w:r>
        <w:t>Le Gouvernement ne soulève aucune exception d’irrecevabilité.</w:t>
      </w:r>
    </w:p>
    <w:p>
      <w:r>
        <w:rPr>
          <w:b/>
        </w:rPr>
        <w:t>E. 43</w:t>
      </w:r>
    </w:p>
    <w:p>
      <w:r>
        <w:t>La Cour constate que les griefs ne sont pas manifestement mal fondés au sens de l’article 35 § 3 de la Convention. Elle relève par ailleurs qu’ils ne se heurtent à aucun autre motif d’irrecevabilité. Il convient donc de les déclarer recevables. B. Sur le fond</w:t>
      </w:r>
    </w:p>
    <w:p>
      <w:r>
        <w:rPr>
          <w:b/>
        </w:rPr>
        <w:t>E. 44</w:t>
      </w:r>
    </w:p>
    <w:p>
      <w:r>
        <w:t>Les requérants allèguent que le décès de leur proche, survenu alors que celui-ci effectuait son service militaire obligatoire, a eu lieu alors qu’il se trouvait placé sous la responsabilité de l’Etat. Ils se plaignent à cet égard de l’absence de mesures préventives qui auraient pu empêcher son suicide.</w:t>
      </w:r>
    </w:p>
    <w:p>
      <w:r>
        <w:rPr>
          <w:b/>
        </w:rPr>
        <w:t>E. 45</w:t>
      </w:r>
    </w:p>
    <w:p>
      <w:r>
        <w:t>Le Gouvernement s’oppose à la thèse des requérants et réfute toute responsabilité des autorités dans le suicide d’İsmail. A cet égard, il indique que le mécanisme prévu pour la protection de l’intégrité physique et psychique des appelés se présente comme suit. Avant l’appel d’un contingent, des mesures sont prises pour identifier les appelés qui risquent de présenter des problèmes médicaux. Dans les grandes villes, les bureaux de recrutement des appelés disposent d’un psychiatre qui intervient lors des examens d’aptitude. En milieu rural, les maires des villages sont tenus d’informer les autorités des antécédents et du caractère des appelés et de chercher à déterminer si ceux-ci souffrent de problèmes particuliers. En vertu d’un protocole existant entre le ministère de la Défense et celui de la Santé, les établissements hospitaliers doivent signaler aux bureaux de recrutement des appelés les personnes ayant un dossier d’antécédents médicaux. Les appelés qui se disent victimes de problèmes psychologiques ou qui présentent un certificat médical dans ce sens sont envoyés dans les hôpitaux militaires pour passer des examens psychiatriques. Après leur arrivée dans les centres de formation, le quinzième jour, les appelés subissent un test d’analyse comportementale ; ceux qui présentent des troubles sont transférés dans des centres médicaux et leur évolution est suivie. Les contacts des appelés avec l’extérieur sont encouragés et des moyens de communication sont offerts. Les problèmes familiaux et personnels rencontrés sont continuellement évalués et les facteurs environnementaux y afférents améliorés au cas par cas. Lorsque les appelés sont chargés d’une mission, ils sont placés sous le contrôle de personnes capables d’anticiper leur état psychologique. Après l’intégration dans le corps de l’armée, un système de consultations médicales et de contrôles psychologiques réguliers est mis en place, et tout appelé a le droit de demander à voir un médecin ; les personnes qui, avant de rejoindre l’armée, se trouvaient rétablies d’une schizophrénie, d’une dépression ou d’une dépendance aux drogues sont surveillées de près et périodiquement, tout comme les personnes exposées à une pression due au lourd fardeau des missions. Si besoin est, ces dernières sont envoyées dans des centres de réhabilitation psychologique pendant leur mission ou au terme de celle-ci. Les personnes atteintes de problèmes psychologiques avérés sont assistées dans la réalisation de leurs tâches. Le cas échéant, il est fait appel aux proches de l’appelé afin de déterminer l’aptitude psychique de l’intéressé à l’accomplissement de son service. Les officiers et les sous-officiers de profession sont dûment formés en matière de prévention des accidents et incidents divers. Les commandants se doivent de connaître les caractéristiques de leur effectif d’appelés et d’assurer un encadrement adéquat. Le dialogue et la coopération sont encouragés au sein du personnel et des mesures sont prises pour accroître le moral et la discipline des troupes, y compris par des récompenses. Des congés sont prévus et des activités récréatives sont offertes ; des efforts sont déployés afin que les appelés établissent des relations sociales. Il est interdit d’insulter et de maltraiter le personnel, et les agissements dans ce sens sont punis.</w:t>
      </w:r>
    </w:p>
    <w:p>
      <w:r>
        <w:rPr>
          <w:b/>
        </w:rPr>
        <w:t>E. 46</w:t>
      </w:r>
    </w:p>
    <w:p>
      <w:r>
        <w:t>Le Gouvernement fait valoir qu’İsmail avait été examiné à de nombreuses reprises par plusieurs médecins, lesquels n’ont pas relevé chez lui de problème psychologique sérieux pouvant conduire au suicide. Selon lui, s’il est vrai que l’intéressé avait manifesté à certains moments un mal-être, son comportement ne laissait pas pour autant présager un tel acte. Il soutient que les recommandations médicales concernant İsmail ont été suivies par les autorités militaires, qui ont assuré une surveillance étroite adaptée à son cas. Le Gouvernement conclut que les autorités militaires ont fait tout ce que l’on pouvait raisonnablement attendre d’elles pour protéger la vie d’İsmail. De l’avis du Gouvernement, reprocher aux autorités militaires de ne pas avoir prévu le suicide d’İsmail et de ne pas avoir fait davantage pour prévenir l’incident reviendrait à imposer à celles-ci un fardeau excessif eu égard aux éléments du dossier et à leurs obligations découlant de l’article 2 de la Convention.</w:t>
      </w:r>
    </w:p>
    <w:p>
      <w:r>
        <w:rPr>
          <w:b/>
        </w:rPr>
        <w:t>E. 47</w:t>
      </w:r>
    </w:p>
    <w:p>
      <w:r>
        <w:t>Les requérants combattent la thèse du Gouvernement et réitèrent leurs allégations. Ils soutiennent notamment que les autorités militaires n’auraient jamais dû confier une arme à İsmail qui souffrait de troubles psychologiques.</w:t>
      </w:r>
    </w:p>
    <w:p>
      <w:r>
        <w:rPr>
          <w:b/>
        </w:rPr>
        <w:t>E. 48</w:t>
      </w:r>
    </w:p>
    <w:p>
      <w:r>
        <w:t>La Cour rappelle que la première phrase du premier paragraphe de l’article 2 de la Convention met à la charge de l’Etat l’obligation positive de prendre préventivement toutes les mesures nécessaires pour protéger les personnes relevant de leur juridiction contre le fait d’autrui ou, le cas échéant, contre elles-mêmes ( Tanrıbilir c. Turquie , n o 21422/93, § 70, 16 novembre 2000, et Keenan c. Royaume-Uni , n o 27229/95, §§ 89 ‑ 93, CEDH 2001 ‑ III).</w:t>
      </w:r>
    </w:p>
    <w:p>
      <w:r>
        <w:rPr>
          <w:b/>
        </w:rPr>
        <w:t>E. 49</w:t>
      </w:r>
    </w:p>
    <w:p>
      <w:r>
        <w:t>Elle rappelle ensuite que cette obligation, qui vaut sans conteste dans le domaine du service militaire obligatoire ( Álvarez Ramón c. Espagne (déc.), n o 51192/99, 3 juillet 2001), implique pour les Etats le devoir de mettre en place un cadre législatif et administratif propre à garantir une prévention efficace contre les atteintes à la vie (voir Abdullah Yılmaz , précité, §§ 55-58, et, mutatis mutandis , Öneryıldız c. Turquie [GC], n o 48939/99, § 89, CEDH 2004 ‑ XI).</w:t>
      </w:r>
    </w:p>
    <w:p>
      <w:r>
        <w:rPr>
          <w:b/>
        </w:rPr>
        <w:t>E. 50</w:t>
      </w:r>
    </w:p>
    <w:p>
      <w:r>
        <w:t>et 79-84, 20 février 2007). 60. Il y a donc eu violation de l’article 2 de la Convention quant à l’obligation positive de l’Etat de prendre préventivement des mesures d’ordre pratique pour protéger İsmail Acet contre ses propres agissements. II. SUR L’APPLICATION DE L’ARTICLE 41 DE LA CONVENTION 61. Au titre de l’article 41, les requérants demandent conjointement 100 000 euros (EUR) pour le préjudice matériel et moral qu’ils estiment avoir subi ainsi que pour les frais et dépens. 62. Le Gouvernement conteste ces prétentions. 63. En ce qui concerne le dommage matériel, la Cour rappelle qu’il doit y avoir un lien de causalité manifeste entre le préjudice allégué et la violation de la Convention et que la satisfaction équitable peut, le cas échéant, inclure une indemnité au titre de la perte de soutien financier ( Lütfi Demirci et autres , précité, § 41, et Kavak c. Turquie , n o 53489/99, § 109, 6 juillet 2006). Cependant, en l’espèce, elle observe que les requérants n’ont pas produit de justificatif sur le soutien matériel que leur aurait apporté jusqu’alors İsmail Acet. Elle rejette en conséquence la demande de réparation matérielle. 64. En ce qui concerne le dommage moral, la Cour, statuant en équité, accorde 18 000 EUR à la requérante Behiye Sütçü et 15 000 EUR conjointement aux autres requérants. 65. S’agissant des frais et dépens, compte tenu de l’absence de tout justificatif, la Cour rejette la demande des requérants. 66. Par ailleurs,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