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19436/04 vom 24. Januar 2008</w:t>
      </w:r>
    </w:p>
    <w:p>
      <w:r>
        <w:t>Ecthr Chamber, 2008-01-24, FR</w:t>
      </w:r>
    </w:p>
    <w:p>
      <w:r>
        <w:rPr>
          <w:b/>
        </w:rPr>
        <w:t xml:space="preserve">Quelle: </w:t>
      </w:r>
      <w:r>
        <w:t>https://mcp.opencaselaw.ch/entscheid/ecthr_chamber_19436_04</w:t>
      </w:r>
    </w:p>
    <w:p>
      <w:r>
        <w:t>FR: ECTHR_CHAMBER 19436/04 du 24 janvier 2008</w:t>
      </w:r>
    </w:p>
    <w:p>
      <w:r>
        <w:t>IT: ECTHR_CHAMBER 19436/04 del 24 gennaio 2008</w:t>
      </w:r>
    </w:p>
    <w:p>
      <w:pPr>
        <w:pStyle w:val="Heading2"/>
      </w:pPr>
      <w:r>
        <w:t>Regeste</w:t>
      </w:r>
    </w:p>
    <w:p>
      <w:r>
        <w:t>Violation de P1-1</w:t>
      </w:r>
    </w:p>
    <w:p>
      <w:pPr>
        <w:pStyle w:val="Heading2"/>
      </w:pPr>
      <w:r>
        <w:t>Erwägungen</w:t>
      </w:r>
    </w:p>
    <w:p>
      <w:r>
        <w:rPr>
          <w:b/>
        </w:rPr>
        <w:t>E. 1</w:t>
      </w:r>
    </w:p>
    <w:p>
      <w:r>
        <w:t>37. Partant, il y a eu en l'espèce violation de cette disposition. II. SUR LA VIOLATION ALLÉGUÉE DE L'ARTICLE 6 § 1 DE LA CONVENTION 38. La requérante allègue l'iniquité de la première procédure en annulation du contrat de vente qui s'est achevée par l'arrêt du 12 novembre 2003 de la cour d'appel de Timişoara, en estimant que les juridictions nationales ont fait une appréciation erronée des pièces du dossier. Elle invoque en ce sens l'article 6 § 1 de la Convention, ainsi libellé dans sa partie pertinente : « Toute personne a droit à ce que sa cause soit entendue équitablement, (...) par un tribunal indépendant et impartial (...) qui décidera (...) des contestations sur ses droits et obligations de caractère civil (...) » 39. La Cour rappelle sa jurisprudence constante selon laquelle elle n'est pas compétente pour examiner une requête relative à des erreurs de fait ou de droit prétendument commises par une juridiction interne, sauf si et dans la mesure où ces erreurs lui semblent susceptibles d'avoir entraîné une atteinte aux droits et libertés garantis par la Convention ( García Ruiz c. Espagne [GC], n o 30544/96, § 28, CEDH 1999-I). Or, tel n'est pas le cas en l'espèce. 40. Il s'ensuit que ce grief doit être rejeté comme étant manifestement mal fondé, en application de l'article 35 §§</w:t>
      </w:r>
    </w:p>
    <w:p>
      <w:r>
        <w:rPr>
          <w:b/>
        </w:rPr>
        <w:t>E. 3</w:t>
      </w:r>
    </w:p>
    <w:p>
      <w:r>
        <w:t>et</w:t>
      </w:r>
    </w:p>
    <w:p>
      <w:r>
        <w:rPr>
          <w:b/>
        </w:rPr>
        <w:t>E. 4</w:t>
      </w:r>
    </w:p>
    <w:p>
      <w:r>
        <w:t>de la Convention. III. SUR L'APPLICATION DE L'ARTICLE 41 DE LA CONVENTION 41.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42. La requérante estime que la valeur marchande du bien (construction et terrain) est de 213 932 euros (EUR) et fournit en ce sens un rapport d'expertise d'août 2007. Par la même lettre, elle demande 50 000 EUR au titre du dommage moral pour le désarroi et l'humiliation qu'elle a vécus en raison de la privation de son bien. 43. Le Gouvernement estime pour sa part que la valeur marchande du bien (construction et terrain) est de 178 545 EUR, en s'appuyant sur un rapport d'expertise d'octobre 2007. 44. En ce qui concerne le dommage moral, il considère qu'un éventuel arrêt de condamnation de l'Etat pourrait constituer, par lui-même, une réparation satisfaisante du dommage moral prétendument subi par la requérante. Il estime en outre que la somme demandée à ce titre est excessive. 45. La Cour rappelle qu'elle a conclu à la violation de l'article 1 du Protocole n o 1 à la Convention en raison de la vente par l'Etat de l'immeuble à un tiers, combinée avec l'absence totale d'indemnisation. 46. Dans les circonstances de l'espèce, la Cour estime que la restitution de l'immeuble situé à Timişoara, 7 rue Albinelor et formé d'une construction et d'un terrain de 705 m 2 placerait la requérante autant que possible dans une situation équivalant à celle où elle se trouverait si les exigences de l'article 1 du Protocole n o 1 n'avaient pas été méconnues. 47. A défaut pour l'Etat défendeur de procéder à pareille restitution dans un délai de trois mois à compter du jour où le présent arrêt sera devenu définitif, la Cour décide que le Gouvernement devra verser à l'intéressée, pour dommage matériel, une somme correspondant à la valeur actuelle de l'immeuble. 48. Compte tenu des éléments fournis par les parties, ainsi que des informations dont elle dispose sur les prix du marché immobilier local, elle estime la valeur marchande actuelle du bien à 195 000 EUR. 49. Concernant la demande de la requérante au titre du dommage moral, la Cour considère que les événements en cause ont entraîné des désagréments et des incertitudes, pour lesquels la somme de 2 500 EUR représente une réparation équitable du préjudice moral subi. B. Frais et dépens 50. La requérante demande 1 927 EUR à titre de frais et dépens. 51. Elle fournit des copies de neuf contrats d'assistance judiciaire conclus successivement par la représentante de la requérante avec deux cabinets d'avocats entre le 13 août 2002 et le 18 mai 2005. Les contrats avaient comme objet les différentes procédures devant les juridictions nationales. Le total des honoraires, tel qu'établi par ces contrats, était de 40 000 000 anciens lei roumains (ROL). 52. La requérante présente également copie d'un reçu du 6 janvier 2005 attestant le paiement par sa représentante d'une somme de 3 000 000 ROL pour honoraires d'avocats, sans mentionner quel était le contrat d'assistance judiciaire concerné. 53. La requérante fournit en outre copie d'un billet d'avion d'un montant de 767 EUR. Le billet en cause portait sur un vol aller-retour de Timişoara à New York, effectué les 31 mai et 18 juin 2007, par la représentante de la requérante, M me M. Maghici. 54. Le Gouvernement observe que les copies des contrats d'assistance judiciaire présentées par la requérante n'ont été accompagnées d'aucun reçu attestant le paiement effectif des sommes en cause. Il relève également que la requérante a fourni uniquement une copie d'un reçu du 6 janvier 2005 qui ne faisait aucune mention du contrat d'assistance judiciaire afférent. 55. Concernant le billet d'avion pour la représentante de la requérante, le Gouvernement estime qu'il n'y a aucun lien de causalité entre la prétendue violation de l'article 1 du Protocole n o 1 et les frais de voyage à New York. 56. Le Gouvernement ne s'oppose pas à ce que soit allouée à la requérante une somme correspondant aux frais et dépens qui sont liés à la procédure interne et celle devant la Cour, à condition qu'ils soient établis, nécessaires et qu'ils aient un lien avec l'affaire. 57. La Cour rappelle qu'un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statuant en équité, juge approprié d'allouer à la requérante 1 200 EUR pour frais et dépens. C. Intérêts moratoires 58.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