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19145/08 vom 21. Juni 2011</w:t>
      </w:r>
    </w:p>
    <w:p>
      <w:r>
        <w:t>Ecthr Chamber, 2011-06-21, FR</w:t>
      </w:r>
    </w:p>
    <w:p>
      <w:r>
        <w:rPr>
          <w:b/>
        </w:rPr>
        <w:t xml:space="preserve">Quelle: </w:t>
      </w:r>
      <w:r>
        <w:t>https://mcp.opencaselaw.ch/entscheid/ecthr_chamber_19145_08</w:t>
      </w:r>
    </w:p>
    <w:p>
      <w:r>
        <w:t>FR: ECTHR_CHAMBER 19145/08 du 21 juin 2011</w:t>
      </w:r>
    </w:p>
    <w:p>
      <w:r>
        <w:t>IT: ECTHR_CHAMBER 19145/08 del 21 giugno 2011</w:t>
      </w:r>
    </w:p>
    <w:p>
      <w:pPr>
        <w:pStyle w:val="Heading2"/>
      </w:pPr>
      <w:r>
        <w:t>Regeste</w:t>
      </w:r>
    </w:p>
    <w:p>
      <w:r>
        <w:t>Violation de P1-1</w:t>
      </w:r>
    </w:p>
    <w:p>
      <w:pPr>
        <w:pStyle w:val="Heading2"/>
      </w:pPr>
      <w:r>
        <w:t>Erwägungen</w:t>
      </w:r>
    </w:p>
    <w:p>
      <w:r>
        <w:rPr>
          <w:b/>
        </w:rPr>
        <w:t>E. 1</w:t>
      </w:r>
    </w:p>
    <w:p>
      <w:r>
        <w:t>II. SUR L’APPLICATION DE L’ARTICLE 41 DE LA CONVENTION 48. La Cour observe que le requérant n’a pas présenté sa demande de satisfaction équitable dans le délai imparti. Partant, elle estime qu’il n’y a pas lieu de lui accorder de somme à ce titre, conformément à l’article 60 §§</w:t>
      </w:r>
    </w:p>
    <w:p>
      <w:r>
        <w:rPr>
          <w:b/>
        </w:rPr>
        <w:t>E. 2</w:t>
      </w:r>
    </w:p>
    <w:p>
      <w:r>
        <w:t>et 3 du règlement ( Sever c. Turquie , n o 29195/05, § 25, 1 er mars 2011, Mehdi Zana c. Turquie , n o 29851/96, §§ 25-27, 6 mars 2001, Willekens c. Belgique , n o 50859/99, § 27, 24 avril 2003, et Roobaert c. Belgique , n o 52231/99, § 24, 29 juillet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