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18607/05 vom 7. Februar 2008</w:t>
      </w:r>
    </w:p>
    <w:p>
      <w:r>
        <w:t>Ecthr Chamber, 2008-02-07, FR</w:t>
      </w:r>
    </w:p>
    <w:p>
      <w:r>
        <w:rPr>
          <w:b/>
        </w:rPr>
        <w:t xml:space="preserve">Quelle: </w:t>
      </w:r>
      <w:r>
        <w:t>https://mcp.opencaselaw.ch/entscheid/ecthr_chamber_18607_05</w:t>
      </w:r>
    </w:p>
    <w:p>
      <w:r>
        <w:t>FR: ECTHR_CHAMBER 18607/05 du 7 février 2008</w:t>
      </w:r>
    </w:p>
    <w:p>
      <w:r>
        <w:t>IT: ECTHR_CHAMBER 18607/05 del 7 febbraio 2008</w:t>
      </w:r>
    </w:p>
    <w:p>
      <w:pPr>
        <w:pStyle w:val="Heading2"/>
      </w:pPr>
      <w:r>
        <w:t>Regeste</w:t>
      </w:r>
    </w:p>
    <w:p>
      <w:r>
        <w:t>Violation de l'article 6 - Droit à un procès équitable; Violation: 6</w:t>
      </w:r>
    </w:p>
    <w:p>
      <w:pPr>
        <w:pStyle w:val="Heading2"/>
      </w:pPr>
      <w:r>
        <w:t>Erwägungen</w:t>
      </w:r>
    </w:p>
    <w:p>
      <w:r>
        <w:rPr>
          <w:b/>
        </w:rPr>
        <w:t>E. 14</w:t>
      </w:r>
    </w:p>
    <w:p>
      <w:r>
        <w:t>Le requérant se plaint de la durée de la procédure devant le Conseil d'Etat ayant abouti à l'arrêt n o 2280/2004. Il invoque l'article 6 § 1 de la Convention, dont les parties pertinentes sont ainsi libellées : « Toute personne a droit à ce que sa cause soit entendue (...) dans un délai raisonnable, par un tribunal (...), qui décidera (...) des contestations sur ses droits et obligations de caractère civil (...) ».</w:t>
      </w:r>
    </w:p>
    <w:p>
      <w:r>
        <w:rPr>
          <w:b/>
        </w:rPr>
        <w:t>E. 15</w:t>
      </w:r>
    </w:p>
    <w:p>
      <w:r>
        <w:t>Le Gouvernement s'oppose à cette thèse. Il argue en particulier qu'on ne saurait exiger de la haute juridiction administrative d'avoir le même rythme que les juridictions inférieures dans le traitement des affaires.</w:t>
      </w:r>
    </w:p>
    <w:p>
      <w:r>
        <w:rPr>
          <w:b/>
        </w:rPr>
        <w:t>E. 16</w:t>
      </w:r>
    </w:p>
    <w:p>
      <w:r>
        <w:t>Le requérant affirme que l'affaire ne présentait aucune complexité particulière et que la durée de la procédure en cause est excessive et aucunement justifiée. A. Sur la recevabilité</w:t>
      </w:r>
    </w:p>
    <w:p>
      <w:r>
        <w:rPr>
          <w:b/>
        </w:rPr>
        <w:t>E. 17</w:t>
      </w:r>
    </w:p>
    <w:p>
      <w:r>
        <w:t>La Cour constate que ce grief n'est pas manifestement mal fondé au sens de l'article 35 § 3 de la Convention. Elle relève en outre qu'il ne se heurte à aucun autre motif d'irrecevabilité. Il convient donc de le déclarer recevable. B. Sur le fond 1. Période à prendre en considération</w:t>
      </w:r>
    </w:p>
    <w:p>
      <w:r>
        <w:rPr>
          <w:b/>
        </w:rPr>
        <w:t>E. 18</w:t>
      </w:r>
    </w:p>
    <w:p>
      <w:r>
        <w:t>La procédure litigieuse a débuté le 8 mars 1993, avec la saisine du Conseil d'Etat par le requérant, et a pris fin le 6 septembre 2004, date de l'arrêt n o 2280/2004 de cette juridiction. La période à considérer s'étale donc sur onze ans et plus de six mois pour un degré de juridiction. 2. Caractère raisonnable de la durée de la procédure</w:t>
      </w:r>
    </w:p>
    <w:p>
      <w:r>
        <w:rPr>
          <w:b/>
        </w:rPr>
        <w:t>E. 19</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20</w:t>
      </w:r>
    </w:p>
    <w:p>
      <w:r>
        <w:t>La Cour a examiné à maintes reprises des affaires soulevant des questions semblables à celle du cas d'espèce et a constaté la violation de l'article 6 § 1 de la Convention (voir Elmaliotis et Konstantinidis c. Grèce , n o 28819/04, §§ 32-36, 25 janvier 2007).</w:t>
      </w:r>
    </w:p>
    <w:p>
      <w:r>
        <w:rPr>
          <w:b/>
        </w:rPr>
        <w:t>E. 21</w:t>
      </w:r>
    </w:p>
    <w:p>
      <w:r>
        <w:t>Après avoir examiné tous les éléments qui lui ont été soumis, la Cour considère que le Gouvernement n'a exposé aucun fait ni argument pouvant mener à une conclusion différente dans le cas présent. En particulier, la Cour réaffirme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(voir Comingersoll S.A. c. Portugal [GC], n o 35382/97, § 24, CEDH 2000-IV).</w:t>
      </w:r>
    </w:p>
    <w:p>
      <w:r>
        <w:rPr>
          <w:b/>
        </w:rPr>
        <w:t>E. 22</w:t>
      </w:r>
    </w:p>
    <w:p>
      <w:r>
        <w:t>Dès lors, compte tenu de sa jurisprudence en la matière, la Cour estime qu'en l'espèce, la durée de la procédure litigieuse a été excessive et n'a pas répondu à l'exigence du « délai raisonnable ». Partant, il y a eu violation de l'article 6 § 1 de la Convention. II. SUR L'APPLICATION DE L'ARTICLE 41 DE LA CONVENTION</w:t>
      </w:r>
    </w:p>
    <w:p>
      <w:r>
        <w:rPr>
          <w:b/>
        </w:rPr>
        <w:t>E. 23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24</w:t>
      </w:r>
    </w:p>
    <w:p>
      <w:r>
        <w:t>Le requérant réclame 15 000 euros (EUR) au titre du préjudice moral qu'il aurait subi.</w:t>
      </w:r>
    </w:p>
    <w:p>
      <w:r>
        <w:rPr>
          <w:b/>
        </w:rPr>
        <w:t>E. 25</w:t>
      </w:r>
    </w:p>
    <w:p>
      <w:r>
        <w:t>Le Gouvernement affirme qu'un constat de violation constituerait en soi une satisfaction équitable.</w:t>
      </w:r>
    </w:p>
    <w:p>
      <w:r>
        <w:rPr>
          <w:b/>
        </w:rPr>
        <w:t>E. 26</w:t>
      </w:r>
    </w:p>
    <w:p>
      <w:r>
        <w:t>La Cour estime que le requérant a subi un préjudice moral en raison de la durée excessive de la procédure en cause que ne compense pas suffisamment le constat de violation. Statuant en équité, comme le veut l'article 41, elle lui alloue la somme réclamée en entier, à savoir 15 000 EUR, au titre du dommage moral subi, plus tout montant pouvant être dû à titre d'impôt sur cette somme. B. Frais et dépens</w:t>
      </w:r>
    </w:p>
    <w:p>
      <w:r>
        <w:rPr>
          <w:b/>
        </w:rPr>
        <w:t>E. 27</w:t>
      </w:r>
    </w:p>
    <w:p>
      <w:r>
        <w:t>Le requérant demande également 8 000 EUR pour les frais et dépens encourus devant la Cour. Il produit deux factures d'un montant total de 7 000 EUR pour les honoraires qu'il a déjà versés pour sa représentation devant la Cour.</w:t>
      </w:r>
    </w:p>
    <w:p>
      <w:r>
        <w:rPr>
          <w:b/>
        </w:rPr>
        <w:t>E. 28</w:t>
      </w:r>
    </w:p>
    <w:p>
      <w:r>
        <w:t>Le Gouvernement affirme que la somme allouée à ce titre ne saurait dépasser 1 000 EUR.</w:t>
      </w:r>
    </w:p>
    <w:p>
      <w:r>
        <w:rPr>
          <w:b/>
        </w:rPr>
        <w:t>E. 29</w:t>
      </w:r>
    </w:p>
    <w:p>
      <w:r>
        <w:t>La Cour rappelle que l'allocation de frais et dépens au titre de l'article 41 présuppose que se trouvent établis leur réalité, leur nécessité et, de plus, le caractère raisonnable de leur taux ( Iatridis c. Grèce [GC], n o 31107/96, § 54, CEDH 2000-XI). Statuant en équité, la Cour accorde au requérant 2 000 EUR au titre des frais et dépens, plus tout montant pouvant être dû à titre d'impôt sur cette somme. C. Intérêts moratoires</w:t>
      </w:r>
    </w:p>
    <w:p>
      <w:r>
        <w:rPr>
          <w:b/>
        </w:rPr>
        <w:t>E. 30</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