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18538/05 vom 13. September 2011</w:t>
      </w:r>
    </w:p>
    <w:p>
      <w:r>
        <w:t>Ecthr Chamber, 2011-09-13, FR</w:t>
      </w:r>
    </w:p>
    <w:p>
      <w:r>
        <w:rPr>
          <w:b/>
        </w:rPr>
        <w:t xml:space="preserve">Quelle: </w:t>
      </w:r>
      <w:r>
        <w:t>https://mcp.opencaselaw.ch/entscheid/ecthr_chamber_18538_05</w:t>
      </w:r>
    </w:p>
    <w:p>
      <w:r>
        <w:t>FR: ECTHR_CHAMBER 18538/05 du 13 septembre 2011</w:t>
      </w:r>
    </w:p>
    <w:p>
      <w:r>
        <w:t>IT: ECTHR_CHAMBER 18538/05 del 13 settembre 2011</w:t>
      </w:r>
    </w:p>
    <w:p>
      <w:pPr>
        <w:pStyle w:val="Heading2"/>
      </w:pPr>
      <w:r>
        <w:t>Regeste</w:t>
      </w:r>
    </w:p>
    <w:p>
      <w:r>
        <w:t>Violation de l'art. 6-1+P1-1;Satisfaction équitable réservée; Violation: 6-1+P1-1;6-1;6;P1-1</w:t>
      </w:r>
    </w:p>
    <w:p>
      <w:pPr>
        <w:pStyle w:val="Heading2"/>
      </w:pPr>
      <w:r>
        <w:t>Erwägungen</w:t>
      </w:r>
    </w:p>
    <w:p>
      <w:r>
        <w:rPr>
          <w:b/>
        </w:rPr>
        <w:t>E. 1</w:t>
      </w:r>
    </w:p>
    <w:p>
      <w:r>
        <w:t>II. SUR LA VIOLATION ALLÉGUÉE DE L’ARTICLE 6 § 1 DE LA CONVENTION 26. Le requérant allègue que la durée de la procédure a méconnu le principe du « délai raisonnable » prévu par l’article 6 § 1 de la Convention. 27. Le Gouvernement combat cette thèse. 28. La Cour constate d’emblée que le grief soulevé par le requérant ne se heurte à aucun des motifs d’irrecevabilité inscrits à l’article 35 § 3 de la Convention. Aussi le déclare-t-elle recevable. 29. Quant au fond, elle note que la procédure dont le requérant se plaint a débuté le 27 mars 1997 et qu’elle a pris fin le 7 octobre 2004. Elle a donc duré plus de sept ans et six mois, pour deux instances. La Cour rappelle avoir conclu dans maintes affaires soulevant des questions semblables à celle de la présente espèce à une méconnaissance de l’exigence du « délai raisonnable », compte tenu des critères dégagés par sa jurisprudence bien établie en la matière (voir, parmi beaucoup d’autres, Frydlender c. France [GC], n o 30979/96, §§ 43-45, CEDH 2000-VII, et Cankoçak c. Turquie , n os 25182/94 et 26956/95, § 25, 20 février 2001). 30. La Cour n’aperçoit rien qui puisse mener à une conclusion différente dans la présente affaire. Aussi conclut-elle à la violation de l’article 6 § 1 de la Convention pour les mêmes motifs. III. SUR L’APPLICATION DE L’ARTICLE 41 DE LA CONVENTION 31.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32. Pour le préjudice matériel, le requérant réclame 740 640 euros (EUR) au total, demande qu’il ventile comme suit : 515 640 EUR pour la valeur actuelle du terrain d’une superficie de 123 715 m</w:t>
      </w:r>
    </w:p>
    <w:p>
      <w:r>
        <w:rPr>
          <w:b/>
        </w:rPr>
        <w:t>E. 2</w:t>
      </w:r>
    </w:p>
    <w:p>
      <w:r>
        <w:t>, et 225 000 EUR pour le manque à gagner et le remboursement des taxes qu’il aurait payées depuis 1997. Pour étayer sa demande, il verse au dossier un rapport d’expertise établi à sa demande le 11 juillet 2008 par un collège de quatre experts. Selon ce rapport, la valeur du terrain est de 494 860 livres turques (TRL) (environ 257 820 EUR), soit 4 TRL/m². Pour parvenir à ce montant, les experts ont pris en considération les éléments suivants : le terrain est utilisé pour la culture de fruits, de légumes et de tabac, il est arrosé, et il est situé à proximité d’un lieu d’habitation et d’une route ; par ailleurs, l’agriculture biologique est pratiquée dans cette zone. Le requérant précise toutefois que la valeur indiquée par les experts correspond au montant que les experts auraient établi dans le cadre d’une procédure d’expropriation classique. Il ajoute que, dans pareil cas, cette valeur aurait fait l’objet d’une objection devant un tribunal et aurait été revu à la hausse. Selon le requérant, la valeur actuelle s’élèverait donc à 515 640 EUR. Le requérant demande également 100 000 EUR pour dommage moral. Il soutient avoir acheté le terrain en 1966 pour les jours difficiles et pour ses enfants. Se trouver privé de ce bien à son âge avancé le mettrait dans une situation économique d’une précarité irréversible. 33. Par ailleurs, le requérant demande 351,80 EUR pour les frais et dépens engagés devant les juridictions internes et 4 431 EUR pour ceux engagés devant la Cour. Pour étayer ses demandes, il verse au dossier l’intégralité des décomptes, factures et reçus correspondants. Il fournit également une convention d’honoraires ainsi qu’un reçu du 11 juillet 2008 signé de son représentant, qui atteste le paiement de 3 535 EUR. Selon la convention d’honoraires, il s’engage à payer à son représentant 10 % des sommes obtenues. 34. Le Gouvernement invite la Cour à rejeter ces demandes, à ses yeux de nature spéculative et dénuées de fondement. 35. Compte tenu des circonstances de la cause, la Cour estime que la question de l’application de l’article 41 ne se trouve pas en état, de sorte qu’il convient de la réserver en tenant compte de l’éventualité d’un accord entre l’Etat défendeur et le requérant (dans le même sens, voir Turgut et autres , précité, § 101, Temel Conta Sanayi Ve Ticaret A.Ş. , précité, § 51, Nural Vural , précité, § 38, et Rimer et autres , précité, § 46). A défaut, selon la Cour, une action en constatation ( değer tespiti davası ) introduite par les parties auprès d’un tribunal de grande instance constituerait, parmi d’autres, un moyen approprié de déterminer la valeur des biens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